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68" w:rsidRPr="00BC62F9" w:rsidRDefault="00EF0252" w:rsidP="00695BC5">
      <w:pPr>
        <w:pStyle w:val="Ttulo1"/>
        <w:tabs>
          <w:tab w:val="center" w:pos="5313"/>
          <w:tab w:val="left" w:pos="6100"/>
        </w:tabs>
        <w:spacing w:line="360" w:lineRule="auto"/>
        <w:rPr>
          <w:rFonts w:ascii="Arial" w:eastAsia="Arial Unicode MS" w:hAnsi="Arial" w:cs="Arial"/>
          <w:u w:val="single"/>
        </w:rPr>
      </w:pPr>
      <w:r w:rsidRPr="00BC62F9">
        <w:rPr>
          <w:rFonts w:ascii="Arial" w:eastAsia="Arial Unicode MS" w:hAnsi="Arial" w:cs="Arial"/>
          <w:u w:val="single"/>
        </w:rPr>
        <w:t>ATA nº 0</w:t>
      </w:r>
      <w:r w:rsidR="005245E2" w:rsidRPr="00BC62F9">
        <w:rPr>
          <w:rFonts w:ascii="Arial" w:eastAsia="Arial Unicode MS" w:hAnsi="Arial" w:cs="Arial"/>
          <w:u w:val="single"/>
        </w:rPr>
        <w:t>3</w:t>
      </w:r>
      <w:r w:rsidRPr="00BC62F9">
        <w:rPr>
          <w:rFonts w:ascii="Arial" w:eastAsia="Arial Unicode MS" w:hAnsi="Arial" w:cs="Arial"/>
          <w:u w:val="single"/>
        </w:rPr>
        <w:t>/</w:t>
      </w:r>
      <w:r w:rsidR="00660449" w:rsidRPr="00BC62F9">
        <w:rPr>
          <w:rFonts w:ascii="Arial" w:eastAsia="Arial Unicode MS" w:hAnsi="Arial" w:cs="Arial"/>
          <w:u w:val="single"/>
        </w:rPr>
        <w:t>20</w:t>
      </w:r>
      <w:r w:rsidR="00B03318" w:rsidRPr="00BC62F9">
        <w:rPr>
          <w:rFonts w:ascii="Arial" w:eastAsia="Arial Unicode MS" w:hAnsi="Arial" w:cs="Arial"/>
          <w:u w:val="single"/>
        </w:rPr>
        <w:t>2</w:t>
      </w:r>
      <w:r w:rsidR="00A274EB" w:rsidRPr="00BC62F9">
        <w:rPr>
          <w:rFonts w:ascii="Arial" w:eastAsia="Arial Unicode MS" w:hAnsi="Arial" w:cs="Arial"/>
          <w:u w:val="single"/>
        </w:rPr>
        <w:t>2</w:t>
      </w:r>
    </w:p>
    <w:p w:rsidR="0063100C" w:rsidRPr="00BC62F9" w:rsidRDefault="0063100C" w:rsidP="00695BC5">
      <w:pPr>
        <w:spacing w:line="360" w:lineRule="auto"/>
        <w:rPr>
          <w:rFonts w:eastAsia="Arial Unicode MS"/>
        </w:rPr>
      </w:pPr>
    </w:p>
    <w:p w:rsidR="00FB2822" w:rsidRPr="00BC62F9" w:rsidRDefault="00EF0252" w:rsidP="00BC62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C62F9">
        <w:rPr>
          <w:rFonts w:ascii="Arial" w:eastAsia="Arial Unicode MS" w:hAnsi="Arial" w:cs="Arial"/>
        </w:rPr>
        <w:t>ATA DA REUNIÃO DE</w:t>
      </w:r>
      <w:r w:rsidR="009A3DAD" w:rsidRPr="00BC62F9">
        <w:rPr>
          <w:rFonts w:ascii="Arial" w:eastAsia="Arial Unicode MS" w:hAnsi="Arial" w:cs="Arial"/>
        </w:rPr>
        <w:t xml:space="preserve"> ANÁLISE DE </w:t>
      </w:r>
      <w:r w:rsidR="005245E2" w:rsidRPr="00BC62F9">
        <w:rPr>
          <w:rFonts w:ascii="Arial" w:eastAsia="Arial Unicode MS" w:hAnsi="Arial" w:cs="Arial"/>
        </w:rPr>
        <w:t>IMPUGNAÇÕES</w:t>
      </w:r>
      <w:r w:rsidR="003A30A4" w:rsidRPr="00BC62F9">
        <w:rPr>
          <w:rFonts w:ascii="Arial" w:eastAsia="Arial Unicode MS" w:hAnsi="Arial" w:cs="Arial"/>
        </w:rPr>
        <w:t xml:space="preserve"> REFERENTE</w:t>
      </w:r>
      <w:r w:rsidR="00B424F6" w:rsidRPr="00BC62F9">
        <w:rPr>
          <w:rFonts w:ascii="Arial" w:eastAsia="Arial Unicode MS" w:hAnsi="Arial" w:cs="Arial"/>
        </w:rPr>
        <w:t>S</w:t>
      </w:r>
      <w:r w:rsidR="003A30A4" w:rsidRPr="00BC62F9">
        <w:rPr>
          <w:rFonts w:ascii="Arial" w:eastAsia="Arial Unicode MS" w:hAnsi="Arial" w:cs="Arial"/>
        </w:rPr>
        <w:t xml:space="preserve"> A</w:t>
      </w:r>
      <w:r w:rsidR="00660449" w:rsidRPr="00BC62F9">
        <w:rPr>
          <w:rFonts w:ascii="Arial" w:eastAsia="Arial Unicode MS" w:hAnsi="Arial" w:cs="Arial"/>
        </w:rPr>
        <w:t>O EDITAL</w:t>
      </w:r>
      <w:r w:rsidRPr="00BC62F9">
        <w:rPr>
          <w:rFonts w:ascii="Arial" w:eastAsia="Arial Unicode MS" w:hAnsi="Arial" w:cs="Arial"/>
        </w:rPr>
        <w:t xml:space="preserve"> </w:t>
      </w:r>
      <w:r w:rsidR="003A30A4" w:rsidRPr="00BC62F9">
        <w:rPr>
          <w:rFonts w:ascii="Arial" w:eastAsia="Arial Unicode MS" w:hAnsi="Arial" w:cs="Arial"/>
        </w:rPr>
        <w:t>DE</w:t>
      </w:r>
      <w:r w:rsidRPr="00BC62F9">
        <w:rPr>
          <w:rFonts w:ascii="Arial" w:eastAsia="Arial Unicode MS" w:hAnsi="Arial" w:cs="Arial"/>
        </w:rPr>
        <w:t xml:space="preserve"> LICITAÇÃO MODALIDADE TOMADA DE PREÇOS Nº </w:t>
      </w:r>
      <w:r w:rsidR="00DC05FB" w:rsidRPr="00BC62F9">
        <w:rPr>
          <w:rFonts w:ascii="Arial" w:eastAsia="Arial Unicode MS" w:hAnsi="Arial" w:cs="Arial"/>
        </w:rPr>
        <w:t>03</w:t>
      </w:r>
      <w:r w:rsidRPr="00BC62F9">
        <w:rPr>
          <w:rFonts w:ascii="Arial" w:eastAsia="Arial Unicode MS" w:hAnsi="Arial" w:cs="Arial"/>
        </w:rPr>
        <w:t>/</w:t>
      </w:r>
      <w:r w:rsidR="00A274EB" w:rsidRPr="00BC62F9">
        <w:rPr>
          <w:rFonts w:ascii="Arial" w:eastAsia="Arial Unicode MS" w:hAnsi="Arial" w:cs="Arial"/>
        </w:rPr>
        <w:t>202</w:t>
      </w:r>
      <w:r w:rsidR="00084D21" w:rsidRPr="00BC62F9">
        <w:rPr>
          <w:rFonts w:ascii="Arial" w:eastAsia="Arial Unicode MS" w:hAnsi="Arial" w:cs="Arial"/>
        </w:rPr>
        <w:t>2</w:t>
      </w:r>
      <w:r w:rsidR="00A274EB" w:rsidRPr="00BC62F9">
        <w:rPr>
          <w:rFonts w:ascii="Arial" w:eastAsia="Arial Unicode MS" w:hAnsi="Arial" w:cs="Arial"/>
        </w:rPr>
        <w:t>, PROCESSO</w:t>
      </w:r>
      <w:r w:rsidRPr="00BC62F9">
        <w:rPr>
          <w:rFonts w:ascii="Arial" w:eastAsia="Arial Unicode MS" w:hAnsi="Arial" w:cs="Arial"/>
        </w:rPr>
        <w:t xml:space="preserve"> Nº</w:t>
      </w:r>
      <w:r w:rsidR="00C25EBD" w:rsidRPr="00BC62F9">
        <w:rPr>
          <w:rFonts w:ascii="Arial" w:eastAsia="Arial Unicode MS" w:hAnsi="Arial" w:cs="Arial"/>
        </w:rPr>
        <w:t xml:space="preserve"> </w:t>
      </w:r>
      <w:r w:rsidR="00DC05FB" w:rsidRPr="00BC62F9">
        <w:rPr>
          <w:rFonts w:ascii="Arial" w:eastAsia="Arial Unicode MS" w:hAnsi="Arial" w:cs="Arial"/>
        </w:rPr>
        <w:t>2022</w:t>
      </w:r>
      <w:r w:rsidR="00B03318" w:rsidRPr="00BC62F9">
        <w:rPr>
          <w:rFonts w:ascii="Arial" w:eastAsia="Arial Unicode MS" w:hAnsi="Arial" w:cs="Arial"/>
        </w:rPr>
        <w:t>/202</w:t>
      </w:r>
      <w:r w:rsidR="00084D21" w:rsidRPr="00BC62F9">
        <w:rPr>
          <w:rFonts w:ascii="Arial" w:eastAsia="Arial Unicode MS" w:hAnsi="Arial" w:cs="Arial"/>
        </w:rPr>
        <w:t>2</w:t>
      </w:r>
      <w:r w:rsidR="00453516" w:rsidRPr="00BC62F9">
        <w:rPr>
          <w:rFonts w:ascii="Arial" w:eastAsia="Arial Unicode MS" w:hAnsi="Arial" w:cs="Arial"/>
        </w:rPr>
        <w:t>, ELABORADO PELO SETOR DE COMPRAS E LICITAÇÕES E APROVADO PELA ASSESSORIA JURÍDICA DO MUNICÍPIO DE VIADUTOS</w:t>
      </w:r>
      <w:r w:rsidRPr="00BC62F9">
        <w:rPr>
          <w:rFonts w:ascii="Arial" w:eastAsia="Arial Unicode MS" w:hAnsi="Arial" w:cs="Arial"/>
        </w:rPr>
        <w:t>. Aos</w:t>
      </w:r>
      <w:r w:rsidR="00660449" w:rsidRPr="00BC62F9">
        <w:rPr>
          <w:rFonts w:ascii="Arial" w:eastAsia="Arial Unicode MS" w:hAnsi="Arial" w:cs="Arial"/>
        </w:rPr>
        <w:t xml:space="preserve"> </w:t>
      </w:r>
      <w:r w:rsidR="005245E2" w:rsidRPr="00BC62F9">
        <w:rPr>
          <w:rFonts w:ascii="Arial" w:eastAsia="Arial Unicode MS" w:hAnsi="Arial" w:cs="Arial"/>
        </w:rPr>
        <w:t>oito</w:t>
      </w:r>
      <w:r w:rsidR="00DC05FB" w:rsidRPr="00BC62F9">
        <w:rPr>
          <w:rFonts w:ascii="Arial" w:eastAsia="Arial Unicode MS" w:hAnsi="Arial" w:cs="Arial"/>
        </w:rPr>
        <w:t xml:space="preserve"> </w:t>
      </w:r>
      <w:r w:rsidR="00084D21" w:rsidRPr="00BC62F9">
        <w:rPr>
          <w:rFonts w:ascii="Arial" w:eastAsia="Arial Unicode MS" w:hAnsi="Arial" w:cs="Arial"/>
        </w:rPr>
        <w:t xml:space="preserve">dias do mês de </w:t>
      </w:r>
      <w:r w:rsidR="005245E2" w:rsidRPr="00BC62F9">
        <w:rPr>
          <w:rFonts w:ascii="Arial" w:eastAsia="Arial Unicode MS" w:hAnsi="Arial" w:cs="Arial"/>
        </w:rPr>
        <w:t>dezembro</w:t>
      </w:r>
      <w:r w:rsidR="00084D21" w:rsidRPr="00BC62F9">
        <w:rPr>
          <w:rFonts w:ascii="Arial" w:eastAsia="Arial Unicode MS" w:hAnsi="Arial" w:cs="Arial"/>
        </w:rPr>
        <w:t xml:space="preserve"> de dois mil e vinte e dois </w:t>
      </w:r>
      <w:r w:rsidR="00660449" w:rsidRPr="00BC62F9">
        <w:rPr>
          <w:rFonts w:ascii="Arial" w:eastAsia="Arial Unicode MS" w:hAnsi="Arial" w:cs="Arial"/>
        </w:rPr>
        <w:t>(</w:t>
      </w:r>
      <w:r w:rsidR="005245E2" w:rsidRPr="00BC62F9">
        <w:rPr>
          <w:rFonts w:ascii="Arial" w:eastAsia="Arial Unicode MS" w:hAnsi="Arial" w:cs="Arial"/>
        </w:rPr>
        <w:t>08</w:t>
      </w:r>
      <w:r w:rsidR="00A274EB" w:rsidRPr="00BC62F9">
        <w:rPr>
          <w:rFonts w:ascii="Arial" w:eastAsia="Arial Unicode MS" w:hAnsi="Arial" w:cs="Arial"/>
        </w:rPr>
        <w:t>.</w:t>
      </w:r>
      <w:r w:rsidR="00DC05FB" w:rsidRPr="00BC62F9">
        <w:rPr>
          <w:rFonts w:ascii="Arial" w:eastAsia="Arial Unicode MS" w:hAnsi="Arial" w:cs="Arial"/>
        </w:rPr>
        <w:t>1</w:t>
      </w:r>
      <w:r w:rsidR="005245E2" w:rsidRPr="00BC62F9">
        <w:rPr>
          <w:rFonts w:ascii="Arial" w:eastAsia="Arial Unicode MS" w:hAnsi="Arial" w:cs="Arial"/>
        </w:rPr>
        <w:t>2</w:t>
      </w:r>
      <w:r w:rsidR="00A274EB" w:rsidRPr="00BC62F9">
        <w:rPr>
          <w:rFonts w:ascii="Arial" w:eastAsia="Arial Unicode MS" w:hAnsi="Arial" w:cs="Arial"/>
        </w:rPr>
        <w:t>.2022</w:t>
      </w:r>
      <w:r w:rsidR="00660449" w:rsidRPr="00BC62F9">
        <w:rPr>
          <w:rFonts w:ascii="Arial" w:eastAsia="Arial Unicode MS" w:hAnsi="Arial" w:cs="Arial"/>
        </w:rPr>
        <w:t xml:space="preserve">) às </w:t>
      </w:r>
      <w:r w:rsidR="00295595" w:rsidRPr="00BC62F9">
        <w:rPr>
          <w:rFonts w:ascii="Arial" w:eastAsia="Arial Unicode MS" w:hAnsi="Arial" w:cs="Arial"/>
        </w:rPr>
        <w:t>nove</w:t>
      </w:r>
      <w:r w:rsidR="00DC05FB" w:rsidRPr="00BC62F9">
        <w:rPr>
          <w:rFonts w:ascii="Arial" w:eastAsia="Arial Unicode MS" w:hAnsi="Arial" w:cs="Arial"/>
        </w:rPr>
        <w:t xml:space="preserve"> horas e </w:t>
      </w:r>
      <w:r w:rsidR="005245E2" w:rsidRPr="00BC62F9">
        <w:rPr>
          <w:rFonts w:ascii="Arial" w:eastAsia="Arial Unicode MS" w:hAnsi="Arial" w:cs="Arial"/>
        </w:rPr>
        <w:t>vinte</w:t>
      </w:r>
      <w:r w:rsidR="00DC05FB" w:rsidRPr="00BC62F9">
        <w:rPr>
          <w:rFonts w:ascii="Arial" w:eastAsia="Arial Unicode MS" w:hAnsi="Arial" w:cs="Arial"/>
        </w:rPr>
        <w:t xml:space="preserve"> minutos </w:t>
      </w:r>
      <w:r w:rsidR="00660449" w:rsidRPr="00BC62F9">
        <w:rPr>
          <w:rFonts w:ascii="Arial" w:eastAsia="Arial Unicode MS" w:hAnsi="Arial" w:cs="Arial"/>
        </w:rPr>
        <w:t>(</w:t>
      </w:r>
      <w:r w:rsidR="00DC05FB" w:rsidRPr="00BC62F9">
        <w:rPr>
          <w:rFonts w:ascii="Arial" w:eastAsia="Arial Unicode MS" w:hAnsi="Arial" w:cs="Arial"/>
        </w:rPr>
        <w:t>0</w:t>
      </w:r>
      <w:r w:rsidR="00295595" w:rsidRPr="00BC62F9">
        <w:rPr>
          <w:rFonts w:ascii="Arial" w:eastAsia="Arial Unicode MS" w:hAnsi="Arial" w:cs="Arial"/>
        </w:rPr>
        <w:t>9</w:t>
      </w:r>
      <w:r w:rsidR="005245E2" w:rsidRPr="00BC62F9">
        <w:rPr>
          <w:rFonts w:ascii="Arial" w:eastAsia="Arial Unicode MS" w:hAnsi="Arial" w:cs="Arial"/>
        </w:rPr>
        <w:t>h2</w:t>
      </w:r>
      <w:r w:rsidR="00660449" w:rsidRPr="00BC62F9">
        <w:rPr>
          <w:rFonts w:ascii="Arial" w:eastAsia="Arial Unicode MS" w:hAnsi="Arial" w:cs="Arial"/>
        </w:rPr>
        <w:t xml:space="preserve">0min), na Sala do Setor de Compras </w:t>
      </w:r>
      <w:r w:rsidR="00453516" w:rsidRPr="00BC62F9">
        <w:rPr>
          <w:rFonts w:ascii="Arial" w:eastAsia="Arial Unicode MS" w:hAnsi="Arial" w:cs="Arial"/>
        </w:rPr>
        <w:t xml:space="preserve">e Licitações </w:t>
      </w:r>
      <w:r w:rsidR="00660449" w:rsidRPr="00BC62F9">
        <w:rPr>
          <w:rFonts w:ascii="Arial" w:eastAsia="Arial Unicode MS" w:hAnsi="Arial" w:cs="Arial"/>
        </w:rPr>
        <w:t xml:space="preserve">da Prefeitura Municipal de Viadutos, </w:t>
      </w:r>
      <w:r w:rsidR="008B4FD0" w:rsidRPr="00BC62F9">
        <w:rPr>
          <w:rFonts w:ascii="Arial" w:eastAsia="Arial Unicode MS" w:hAnsi="Arial" w:cs="Arial"/>
        </w:rPr>
        <w:t xml:space="preserve">sito à Rua Anastácio Ribeiro, número oitenta e quatro (nº 84), </w:t>
      </w:r>
      <w:r w:rsidR="00660449" w:rsidRPr="00BC62F9">
        <w:rPr>
          <w:rFonts w:ascii="Arial" w:eastAsia="Arial Unicode MS" w:hAnsi="Arial" w:cs="Arial"/>
        </w:rPr>
        <w:t>reuniu-se a Comissão de Licitações desi</w:t>
      </w:r>
      <w:r w:rsidR="00594C8C" w:rsidRPr="00BC62F9">
        <w:rPr>
          <w:rFonts w:ascii="Arial" w:eastAsia="Arial Unicode MS" w:hAnsi="Arial" w:cs="Arial"/>
        </w:rPr>
        <w:t>gnada pela Portaria Municipal nú</w:t>
      </w:r>
      <w:r w:rsidR="00660449" w:rsidRPr="00BC62F9">
        <w:rPr>
          <w:rFonts w:ascii="Arial" w:eastAsia="Arial Unicode MS" w:hAnsi="Arial" w:cs="Arial"/>
        </w:rPr>
        <w:t>mero</w:t>
      </w:r>
      <w:r w:rsidR="00B03318" w:rsidRPr="00BC62F9">
        <w:rPr>
          <w:rFonts w:ascii="Arial" w:eastAsia="Arial Unicode MS" w:hAnsi="Arial" w:cs="Arial"/>
        </w:rPr>
        <w:t xml:space="preserve"> </w:t>
      </w:r>
      <w:r w:rsidR="00DC05FB" w:rsidRPr="00BC62F9">
        <w:rPr>
          <w:rFonts w:ascii="Arial" w:eastAsia="Arial Unicode MS" w:hAnsi="Arial" w:cs="Arial"/>
        </w:rPr>
        <w:t>duzentos e sete de oito de setembro de dois mil e vinte e dois</w:t>
      </w:r>
      <w:r w:rsidR="00664A4E" w:rsidRPr="00BC62F9">
        <w:rPr>
          <w:rFonts w:ascii="Arial" w:eastAsia="Arial Unicode MS" w:hAnsi="Arial" w:cs="Arial"/>
        </w:rPr>
        <w:t xml:space="preserve"> </w:t>
      </w:r>
      <w:r w:rsidR="00DC05FB" w:rsidRPr="00BC62F9">
        <w:rPr>
          <w:rFonts w:ascii="Arial" w:eastAsia="Arial Unicode MS" w:hAnsi="Arial" w:cs="Arial"/>
        </w:rPr>
        <w:t>(207//2022 de 08.09.2022),</w:t>
      </w:r>
      <w:r w:rsidR="00660449" w:rsidRPr="00BC62F9">
        <w:rPr>
          <w:rFonts w:ascii="Arial" w:eastAsia="Arial Unicode MS" w:hAnsi="Arial" w:cs="Arial"/>
        </w:rPr>
        <w:t xml:space="preserve"> </w:t>
      </w:r>
      <w:r w:rsidR="00AE3D41" w:rsidRPr="00BC62F9">
        <w:rPr>
          <w:rFonts w:ascii="Arial" w:eastAsia="Arial Unicode MS" w:hAnsi="Arial" w:cs="Arial"/>
        </w:rPr>
        <w:t xml:space="preserve">com a presença dos seguintes membros: Fernanda Taise </w:t>
      </w:r>
      <w:proofErr w:type="spellStart"/>
      <w:r w:rsidR="00AE3D41" w:rsidRPr="00BC62F9">
        <w:rPr>
          <w:rFonts w:ascii="Arial" w:eastAsia="Arial Unicode MS" w:hAnsi="Arial" w:cs="Arial"/>
        </w:rPr>
        <w:t>Dolinski</w:t>
      </w:r>
      <w:proofErr w:type="spellEnd"/>
      <w:r w:rsidR="00AE3D41" w:rsidRPr="00BC62F9">
        <w:rPr>
          <w:rFonts w:ascii="Arial" w:eastAsia="Arial Unicode MS" w:hAnsi="Arial" w:cs="Arial"/>
        </w:rPr>
        <w:t>,</w:t>
      </w:r>
      <w:r w:rsidR="00B03318" w:rsidRPr="00BC62F9">
        <w:rPr>
          <w:rFonts w:ascii="Arial" w:eastAsia="Arial Unicode MS" w:hAnsi="Arial" w:cs="Arial"/>
        </w:rPr>
        <w:t xml:space="preserve"> Paulo Sergio Lazzarotto e </w:t>
      </w:r>
      <w:proofErr w:type="spellStart"/>
      <w:r w:rsidR="00664A4E" w:rsidRPr="00BC62F9">
        <w:rPr>
          <w:rFonts w:ascii="Arial" w:eastAsia="Arial Unicode MS" w:hAnsi="Arial" w:cs="Arial"/>
        </w:rPr>
        <w:t>Camile</w:t>
      </w:r>
      <w:proofErr w:type="spellEnd"/>
      <w:r w:rsidR="00664A4E" w:rsidRPr="00BC62F9">
        <w:rPr>
          <w:rFonts w:ascii="Arial" w:eastAsia="Arial Unicode MS" w:hAnsi="Arial" w:cs="Arial"/>
        </w:rPr>
        <w:t xml:space="preserve"> Denise </w:t>
      </w:r>
      <w:proofErr w:type="spellStart"/>
      <w:r w:rsidR="00664A4E" w:rsidRPr="00BC62F9">
        <w:rPr>
          <w:rFonts w:ascii="Arial" w:eastAsia="Arial Unicode MS" w:hAnsi="Arial" w:cs="Arial"/>
        </w:rPr>
        <w:t>Dallagnol</w:t>
      </w:r>
      <w:proofErr w:type="spellEnd"/>
      <w:r w:rsidR="00B03318" w:rsidRPr="00BC62F9">
        <w:rPr>
          <w:rFonts w:ascii="Arial" w:eastAsia="Arial Unicode MS" w:hAnsi="Arial" w:cs="Arial"/>
        </w:rPr>
        <w:t>,</w:t>
      </w:r>
      <w:r w:rsidR="00AE3D41" w:rsidRPr="00BC62F9">
        <w:rPr>
          <w:rFonts w:ascii="Arial" w:eastAsia="Arial Unicode MS" w:hAnsi="Arial" w:cs="Arial"/>
        </w:rPr>
        <w:t xml:space="preserve"> para </w:t>
      </w:r>
      <w:r w:rsidR="00295595" w:rsidRPr="00BC62F9">
        <w:rPr>
          <w:rFonts w:ascii="Arial" w:eastAsia="Arial Unicode MS" w:hAnsi="Arial" w:cs="Arial"/>
        </w:rPr>
        <w:t xml:space="preserve">análise de </w:t>
      </w:r>
      <w:r w:rsidR="0011318E" w:rsidRPr="00BC62F9">
        <w:rPr>
          <w:rFonts w:ascii="Arial" w:eastAsia="Arial Unicode MS" w:hAnsi="Arial" w:cs="Arial"/>
        </w:rPr>
        <w:t>impugnações aos recursos</w:t>
      </w:r>
      <w:r w:rsidR="00AE3D41" w:rsidRPr="00BC62F9">
        <w:rPr>
          <w:rFonts w:ascii="Arial" w:eastAsia="Arial Unicode MS" w:hAnsi="Arial" w:cs="Arial"/>
        </w:rPr>
        <w:t xml:space="preserve"> referentes a </w:t>
      </w:r>
      <w:r w:rsidR="00A27F3A" w:rsidRPr="00BC62F9">
        <w:rPr>
          <w:rFonts w:ascii="Arial" w:eastAsia="Arial Unicode MS" w:hAnsi="Arial" w:cs="Arial"/>
        </w:rPr>
        <w:t>T</w:t>
      </w:r>
      <w:r w:rsidR="008B4FD0" w:rsidRPr="00BC62F9">
        <w:rPr>
          <w:rFonts w:ascii="Arial" w:eastAsia="Arial Unicode MS" w:hAnsi="Arial" w:cs="Arial"/>
        </w:rPr>
        <w:t xml:space="preserve">omada </w:t>
      </w:r>
      <w:r w:rsidR="00AE3D41" w:rsidRPr="00BC62F9">
        <w:rPr>
          <w:rFonts w:ascii="Arial" w:eastAsia="Arial Unicode MS" w:hAnsi="Arial" w:cs="Arial"/>
        </w:rPr>
        <w:t xml:space="preserve">de </w:t>
      </w:r>
      <w:r w:rsidR="00A27F3A" w:rsidRPr="00BC62F9">
        <w:rPr>
          <w:rFonts w:ascii="Arial" w:eastAsia="Arial Unicode MS" w:hAnsi="Arial" w:cs="Arial"/>
        </w:rPr>
        <w:t>P</w:t>
      </w:r>
      <w:r w:rsidR="00AE3D41" w:rsidRPr="00BC62F9">
        <w:rPr>
          <w:rFonts w:ascii="Arial" w:eastAsia="Arial Unicode MS" w:hAnsi="Arial" w:cs="Arial"/>
        </w:rPr>
        <w:t xml:space="preserve">reços nº </w:t>
      </w:r>
      <w:r w:rsidR="00453516" w:rsidRPr="00BC62F9">
        <w:rPr>
          <w:rFonts w:ascii="Arial" w:eastAsia="Arial Unicode MS" w:hAnsi="Arial" w:cs="Arial"/>
        </w:rPr>
        <w:t>0</w:t>
      </w:r>
      <w:r w:rsidR="00DC05FB" w:rsidRPr="00BC62F9">
        <w:rPr>
          <w:rFonts w:ascii="Arial" w:eastAsia="Arial Unicode MS" w:hAnsi="Arial" w:cs="Arial"/>
        </w:rPr>
        <w:t>3</w:t>
      </w:r>
      <w:r w:rsidR="008B4FD0" w:rsidRPr="00BC62F9">
        <w:rPr>
          <w:rFonts w:ascii="Arial" w:eastAsia="Arial Unicode MS" w:hAnsi="Arial" w:cs="Arial"/>
        </w:rPr>
        <w:t>/20</w:t>
      </w:r>
      <w:r w:rsidR="000D08F9" w:rsidRPr="00BC62F9">
        <w:rPr>
          <w:rFonts w:ascii="Arial" w:eastAsia="Arial Unicode MS" w:hAnsi="Arial" w:cs="Arial"/>
        </w:rPr>
        <w:t>2</w:t>
      </w:r>
      <w:r w:rsidR="00084D21" w:rsidRPr="00BC62F9">
        <w:rPr>
          <w:rFonts w:ascii="Arial" w:eastAsia="Arial Unicode MS" w:hAnsi="Arial" w:cs="Arial"/>
        </w:rPr>
        <w:t>2</w:t>
      </w:r>
      <w:r w:rsidR="008B4FD0" w:rsidRPr="00BC62F9">
        <w:rPr>
          <w:rFonts w:ascii="Arial" w:eastAsia="Arial Unicode MS" w:hAnsi="Arial" w:cs="Arial"/>
        </w:rPr>
        <w:t xml:space="preserve">, </w:t>
      </w:r>
      <w:r w:rsidR="00084D21" w:rsidRPr="00BC62F9">
        <w:rPr>
          <w:rFonts w:ascii="Arial" w:eastAsia="Arial Unicode MS" w:hAnsi="Arial" w:cs="Arial"/>
        </w:rPr>
        <w:t xml:space="preserve">que tem por </w:t>
      </w:r>
      <w:r w:rsidR="00084D21" w:rsidRPr="00BC62F9">
        <w:rPr>
          <w:rFonts w:ascii="Arial" w:hAnsi="Arial" w:cs="Arial"/>
        </w:rPr>
        <w:t>objeto</w:t>
      </w:r>
      <w:r w:rsidR="00DC05FB" w:rsidRPr="00BC62F9">
        <w:rPr>
          <w:rFonts w:ascii="Arial" w:hAnsi="Arial" w:cs="Arial"/>
        </w:rPr>
        <w:t xml:space="preserve"> a contratação de Empresas </w:t>
      </w:r>
      <w:r w:rsidR="00A27F3A" w:rsidRPr="00BC62F9">
        <w:rPr>
          <w:rFonts w:ascii="Arial" w:hAnsi="Arial" w:cs="Arial"/>
        </w:rPr>
        <w:t xml:space="preserve">sob regime de empreitada global por Lote, </w:t>
      </w:r>
      <w:r w:rsidR="00DC05FB" w:rsidRPr="00BC62F9">
        <w:rPr>
          <w:rFonts w:ascii="Arial" w:hAnsi="Arial" w:cs="Arial"/>
        </w:rPr>
        <w:t>para reformas em obras e instalações: Lote 1</w:t>
      </w:r>
      <w:r w:rsidR="00776E38" w:rsidRPr="00BC62F9">
        <w:rPr>
          <w:rFonts w:ascii="Arial" w:hAnsi="Arial" w:cs="Arial"/>
        </w:rPr>
        <w:t xml:space="preserve"> - Anexo V:</w:t>
      </w:r>
      <w:r w:rsidR="00DC05FB" w:rsidRPr="00BC62F9">
        <w:rPr>
          <w:rFonts w:ascii="Arial" w:hAnsi="Arial" w:cs="Arial"/>
        </w:rPr>
        <w:t xml:space="preserve"> Ginásio Municipal de Esportes, Lote 2</w:t>
      </w:r>
      <w:r w:rsidR="00A27F3A" w:rsidRPr="00BC62F9">
        <w:rPr>
          <w:rFonts w:ascii="Arial" w:hAnsi="Arial" w:cs="Arial"/>
        </w:rPr>
        <w:t xml:space="preserve"> – Anexo VI</w:t>
      </w:r>
      <w:r w:rsidR="00DC05FB" w:rsidRPr="00BC62F9">
        <w:rPr>
          <w:rFonts w:ascii="Arial" w:hAnsi="Arial" w:cs="Arial"/>
        </w:rPr>
        <w:t>: Ginásio Municipal FNDE</w:t>
      </w:r>
      <w:r w:rsidR="00776E38" w:rsidRPr="00BC62F9">
        <w:rPr>
          <w:rFonts w:ascii="Arial" w:hAnsi="Arial" w:cs="Arial"/>
        </w:rPr>
        <w:t xml:space="preserve"> e Sala Multiuso da Escola de Educação Infantil e Lote 3</w:t>
      </w:r>
      <w:r w:rsidR="00A27F3A" w:rsidRPr="00BC62F9">
        <w:rPr>
          <w:rFonts w:ascii="Arial" w:hAnsi="Arial" w:cs="Arial"/>
        </w:rPr>
        <w:t xml:space="preserve"> – Anexo VII</w:t>
      </w:r>
      <w:r w:rsidR="00776E38" w:rsidRPr="00BC62F9">
        <w:rPr>
          <w:rFonts w:ascii="Arial" w:hAnsi="Arial" w:cs="Arial"/>
        </w:rPr>
        <w:t>: Escola Municipal de Ensino Fundamental</w:t>
      </w:r>
      <w:r w:rsidR="00A27F3A" w:rsidRPr="00BC62F9">
        <w:rPr>
          <w:rFonts w:ascii="Arial" w:hAnsi="Arial" w:cs="Arial"/>
        </w:rPr>
        <w:t xml:space="preserve"> da Secretaria Municipal de Educação, Cultura e Desporto do Município, </w:t>
      </w:r>
      <w:r w:rsidR="00084D21" w:rsidRPr="00BC62F9">
        <w:rPr>
          <w:rFonts w:ascii="Arial" w:hAnsi="Arial" w:cs="Arial"/>
          <w:iCs/>
        </w:rPr>
        <w:t>e conforme os</w:t>
      </w:r>
      <w:r w:rsidR="00084D21" w:rsidRPr="00BC62F9">
        <w:rPr>
          <w:rFonts w:ascii="Arial" w:hAnsi="Arial" w:cs="Arial"/>
        </w:rPr>
        <w:t xml:space="preserve"> documentos técnicos de engenharia, que fazem parte integrante do Edital</w:t>
      </w:r>
      <w:r w:rsidR="00295595" w:rsidRPr="00BC62F9">
        <w:rPr>
          <w:rFonts w:ascii="Arial" w:hAnsi="Arial" w:cs="Arial"/>
        </w:rPr>
        <w:t xml:space="preserve">. </w:t>
      </w:r>
      <w:r w:rsidR="008B42F5" w:rsidRPr="00BC62F9">
        <w:rPr>
          <w:rFonts w:ascii="Arial" w:hAnsi="Arial" w:cs="Arial"/>
        </w:rPr>
        <w:t xml:space="preserve">Presente à reunião o servidor cargo de provimento efetivo de engenheiro civil do Município, Cristiano </w:t>
      </w:r>
      <w:proofErr w:type="spellStart"/>
      <w:r w:rsidR="008B42F5" w:rsidRPr="00BC62F9">
        <w:rPr>
          <w:rFonts w:ascii="Arial" w:hAnsi="Arial" w:cs="Arial"/>
        </w:rPr>
        <w:t>Zordan</w:t>
      </w:r>
      <w:proofErr w:type="spellEnd"/>
      <w:r w:rsidR="008B42F5" w:rsidRPr="00BC62F9">
        <w:rPr>
          <w:rFonts w:ascii="Arial" w:hAnsi="Arial" w:cs="Arial"/>
        </w:rPr>
        <w:t xml:space="preserve"> </w:t>
      </w:r>
      <w:proofErr w:type="spellStart"/>
      <w:r w:rsidR="008B42F5" w:rsidRPr="00BC62F9">
        <w:rPr>
          <w:rFonts w:ascii="Arial" w:hAnsi="Arial" w:cs="Arial"/>
        </w:rPr>
        <w:t>Chiochetta</w:t>
      </w:r>
      <w:proofErr w:type="spellEnd"/>
      <w:r w:rsidR="008B42F5" w:rsidRPr="00BC62F9">
        <w:rPr>
          <w:rFonts w:ascii="Arial" w:hAnsi="Arial" w:cs="Arial"/>
        </w:rPr>
        <w:t xml:space="preserve"> para subsidiar a Comissão nas questões técnicas. </w:t>
      </w:r>
      <w:r w:rsidR="00295595" w:rsidRPr="00BC62F9">
        <w:rPr>
          <w:rFonts w:ascii="Arial" w:hAnsi="Arial" w:cs="Arial"/>
        </w:rPr>
        <w:t xml:space="preserve">As seguintes empresas apresentaram </w:t>
      </w:r>
      <w:r w:rsidR="0011318E" w:rsidRPr="00BC62F9">
        <w:rPr>
          <w:rFonts w:ascii="Arial" w:hAnsi="Arial" w:cs="Arial"/>
        </w:rPr>
        <w:t xml:space="preserve">impugnações aos </w:t>
      </w:r>
      <w:r w:rsidR="00295595" w:rsidRPr="00BC62F9">
        <w:rPr>
          <w:rFonts w:ascii="Arial" w:hAnsi="Arial" w:cs="Arial"/>
        </w:rPr>
        <w:t>recursos</w:t>
      </w:r>
      <w:r w:rsidR="008B42F5" w:rsidRPr="00BC62F9">
        <w:rPr>
          <w:rFonts w:ascii="Arial" w:hAnsi="Arial" w:cs="Arial"/>
        </w:rPr>
        <w:t xml:space="preserve">, </w:t>
      </w:r>
      <w:r w:rsidR="00295595" w:rsidRPr="00BC62F9">
        <w:rPr>
          <w:rFonts w:ascii="Arial" w:hAnsi="Arial" w:cs="Arial"/>
        </w:rPr>
        <w:t>nos seguintes termos: 1)</w:t>
      </w:r>
      <w:r w:rsidR="008B42F5" w:rsidRPr="00BC62F9">
        <w:rPr>
          <w:rFonts w:ascii="Arial" w:hAnsi="Arial" w:cs="Arial"/>
        </w:rPr>
        <w:t xml:space="preserve"> </w:t>
      </w:r>
      <w:r w:rsidR="008B42F5" w:rsidRPr="00BC62F9">
        <w:rPr>
          <w:rFonts w:ascii="Arial" w:hAnsi="Arial" w:cs="Arial"/>
        </w:rPr>
        <w:t>AC’TECH SOLUÇÕES METÁLICAS E COMÉRCIO LTDA</w:t>
      </w:r>
      <w:r w:rsidR="008B42F5" w:rsidRPr="00BC62F9">
        <w:rPr>
          <w:rFonts w:ascii="Arial" w:hAnsi="Arial" w:cs="Arial"/>
        </w:rPr>
        <w:t xml:space="preserve">, </w:t>
      </w:r>
      <w:r w:rsidR="002D15AD" w:rsidRPr="00BC62F9">
        <w:rPr>
          <w:rFonts w:ascii="Arial" w:hAnsi="Arial" w:cs="Arial"/>
        </w:rPr>
        <w:t xml:space="preserve">encaminhou recurso via e-mail direcionado ao endereço eletrônico: </w:t>
      </w:r>
      <w:hyperlink r:id="rId8" w:history="1">
        <w:r w:rsidR="002D15AD" w:rsidRPr="00BC62F9">
          <w:rPr>
            <w:rStyle w:val="Hyperlink"/>
            <w:rFonts w:ascii="Arial" w:hAnsi="Arial" w:cs="Arial"/>
          </w:rPr>
          <w:t>compras@viadutos.rs.gov.br</w:t>
        </w:r>
      </w:hyperlink>
      <w:r w:rsidR="002D15AD" w:rsidRPr="00BC62F9">
        <w:rPr>
          <w:rFonts w:ascii="Arial" w:hAnsi="Arial" w:cs="Arial"/>
        </w:rPr>
        <w:t>, na data de dois de dezembro de dois mil e vinte e dois (02.12.2022). R</w:t>
      </w:r>
      <w:r w:rsidR="008B42F5" w:rsidRPr="00BC62F9">
        <w:rPr>
          <w:rFonts w:ascii="Arial" w:hAnsi="Arial" w:cs="Arial"/>
        </w:rPr>
        <w:t xml:space="preserve">efere </w:t>
      </w:r>
      <w:r w:rsidR="002D15AD" w:rsidRPr="00BC62F9">
        <w:rPr>
          <w:rFonts w:ascii="Arial" w:hAnsi="Arial" w:cs="Arial"/>
        </w:rPr>
        <w:t xml:space="preserve">na impugnação </w:t>
      </w:r>
      <w:r w:rsidR="008B42F5" w:rsidRPr="00BC62F9">
        <w:rPr>
          <w:rFonts w:ascii="Arial" w:hAnsi="Arial" w:cs="Arial"/>
        </w:rPr>
        <w:t>que</w:t>
      </w:r>
      <w:r w:rsidR="002D15AD" w:rsidRPr="00BC62F9">
        <w:rPr>
          <w:rFonts w:ascii="Arial" w:hAnsi="Arial" w:cs="Arial"/>
        </w:rPr>
        <w:t>:</w:t>
      </w:r>
      <w:r w:rsidR="008B42F5" w:rsidRPr="00BC62F9">
        <w:rPr>
          <w:rFonts w:ascii="Arial" w:hAnsi="Arial" w:cs="Arial"/>
        </w:rPr>
        <w:t xml:space="preserve"> quanto ao item 4.5 apresentou a Certidão da Junta Comercial com a comprovação de microempresa, solicitando diligências as instâncias superiores. Referente a alegação falha frustrada da empresa </w:t>
      </w:r>
      <w:r w:rsidR="008B42F5" w:rsidRPr="00BC62F9">
        <w:rPr>
          <w:rFonts w:ascii="Arial" w:hAnsi="Arial" w:cs="Arial"/>
        </w:rPr>
        <w:t>CONCRETTA CONSTRUÇÕES E SERVIÇOS LTDA</w:t>
      </w:r>
      <w:r w:rsidR="008B42F5" w:rsidRPr="00BC62F9">
        <w:rPr>
          <w:rFonts w:ascii="Arial" w:hAnsi="Arial" w:cs="Arial"/>
        </w:rPr>
        <w:t xml:space="preserve">, apresenta total falta de coerência, pois o mesmo estando presente na ata de abertura não intencionou nada referente a habilitações técnicas. </w:t>
      </w:r>
      <w:r w:rsidR="00F76940" w:rsidRPr="00BC62F9">
        <w:rPr>
          <w:rFonts w:ascii="Arial" w:hAnsi="Arial" w:cs="Arial"/>
        </w:rPr>
        <w:t xml:space="preserve">Alega que a Recorrente efetuou </w:t>
      </w:r>
      <w:r w:rsidR="008B42F5" w:rsidRPr="00BC62F9">
        <w:rPr>
          <w:rFonts w:ascii="Arial" w:hAnsi="Arial" w:cs="Arial"/>
        </w:rPr>
        <w:t xml:space="preserve">alegações sem mesmo ter atenção plena na leitura do edital. </w:t>
      </w:r>
      <w:r w:rsidR="00F76940" w:rsidRPr="00BC62F9">
        <w:rPr>
          <w:rFonts w:ascii="Arial" w:hAnsi="Arial" w:cs="Arial"/>
        </w:rPr>
        <w:t xml:space="preserve">Finaliza que cabe a Comissão técnica da prefeitura, após a abertura do envelope de proposta de preço verificar para qual lote a habilitação técnica está </w:t>
      </w:r>
      <w:r w:rsidR="00616F99" w:rsidRPr="00BC62F9">
        <w:rPr>
          <w:rFonts w:ascii="Arial" w:hAnsi="Arial" w:cs="Arial"/>
        </w:rPr>
        <w:t>direcionada, este</w:t>
      </w:r>
      <w:r w:rsidR="00F76940" w:rsidRPr="00BC62F9">
        <w:rPr>
          <w:rFonts w:ascii="Arial" w:hAnsi="Arial" w:cs="Arial"/>
        </w:rPr>
        <w:t xml:space="preserve"> fato poderia ser </w:t>
      </w:r>
      <w:r w:rsidR="00F76940" w:rsidRPr="00BC62F9">
        <w:rPr>
          <w:rFonts w:ascii="Arial" w:hAnsi="Arial" w:cs="Arial"/>
          <w:i/>
        </w:rPr>
        <w:t>sando</w:t>
      </w:r>
      <w:r w:rsidR="00F76940" w:rsidRPr="00BC62F9">
        <w:rPr>
          <w:rFonts w:ascii="Arial" w:hAnsi="Arial" w:cs="Arial"/>
        </w:rPr>
        <w:t xml:space="preserve"> </w:t>
      </w:r>
      <w:r w:rsidR="00616F99" w:rsidRPr="00BC62F9">
        <w:rPr>
          <w:rFonts w:ascii="Arial" w:hAnsi="Arial" w:cs="Arial"/>
        </w:rPr>
        <w:t xml:space="preserve">(grafia como consta na impugnação), </w:t>
      </w:r>
      <w:r w:rsidR="00F76940" w:rsidRPr="00BC62F9">
        <w:rPr>
          <w:rFonts w:ascii="Arial" w:hAnsi="Arial" w:cs="Arial"/>
        </w:rPr>
        <w:t xml:space="preserve">com uma declaração de interesse ao lote destinado, protocolado no envelope de habilitação. </w:t>
      </w:r>
      <w:r w:rsidR="008B42F5" w:rsidRPr="00BC62F9">
        <w:rPr>
          <w:rFonts w:ascii="Arial" w:hAnsi="Arial" w:cs="Arial"/>
        </w:rPr>
        <w:t xml:space="preserve">2) </w:t>
      </w:r>
      <w:r w:rsidR="008B42F5" w:rsidRPr="00BC62F9">
        <w:rPr>
          <w:rFonts w:ascii="Arial" w:hAnsi="Arial" w:cs="Arial"/>
        </w:rPr>
        <w:t>JOSIAS BORGES DE OLIVEIRA ME</w:t>
      </w:r>
      <w:r w:rsidR="003B01A3" w:rsidRPr="00BC62F9">
        <w:rPr>
          <w:rFonts w:ascii="Arial" w:hAnsi="Arial" w:cs="Arial"/>
        </w:rPr>
        <w:t xml:space="preserve">, </w:t>
      </w:r>
      <w:r w:rsidR="00DA0F1C" w:rsidRPr="00BC62F9">
        <w:rPr>
          <w:rFonts w:ascii="Arial" w:hAnsi="Arial" w:cs="Arial"/>
        </w:rPr>
        <w:t xml:space="preserve">protocolou impugnação junto ao Setor de Processos, Protocolo e Arquivo da </w:t>
      </w:r>
      <w:r w:rsidR="00DA0F1C" w:rsidRPr="00BC62F9">
        <w:rPr>
          <w:rFonts w:ascii="Arial" w:hAnsi="Arial" w:cs="Arial"/>
        </w:rPr>
        <w:lastRenderedPageBreak/>
        <w:t>Secretaria Municipal de Administração, em dois de dezembro de dois mil e vinte e dois (02.12.2022), sob número trezentos e quarenta e oito (348). I</w:t>
      </w:r>
      <w:r w:rsidR="003B01A3" w:rsidRPr="00BC62F9">
        <w:rPr>
          <w:rFonts w:ascii="Arial" w:hAnsi="Arial" w:cs="Arial"/>
        </w:rPr>
        <w:t xml:space="preserve">mpugna o recurso da empresa </w:t>
      </w:r>
      <w:r w:rsidR="003B01A3" w:rsidRPr="00BC62F9">
        <w:rPr>
          <w:rFonts w:ascii="Arial" w:hAnsi="Arial" w:cs="Arial"/>
        </w:rPr>
        <w:t>CONCRETTA CONSTRUÇÕES E SERVIÇOS LTDA</w:t>
      </w:r>
      <w:r w:rsidR="003B01A3" w:rsidRPr="00BC62F9">
        <w:rPr>
          <w:rFonts w:ascii="Arial" w:hAnsi="Arial" w:cs="Arial"/>
        </w:rPr>
        <w:t xml:space="preserve">, </w:t>
      </w:r>
      <w:r w:rsidR="00DA0F1C" w:rsidRPr="00BC62F9">
        <w:rPr>
          <w:rFonts w:ascii="Arial" w:hAnsi="Arial" w:cs="Arial"/>
        </w:rPr>
        <w:t xml:space="preserve">com os seguintes argumentos: </w:t>
      </w:r>
      <w:r w:rsidR="00505A7C" w:rsidRPr="00BC62F9">
        <w:rPr>
          <w:rFonts w:ascii="Arial" w:hAnsi="Arial" w:cs="Arial"/>
        </w:rPr>
        <w:t xml:space="preserve">alega tempestividade da impugnação, discorre sobre os fatos </w:t>
      </w:r>
      <w:r w:rsidR="002E59AE" w:rsidRPr="00BC62F9">
        <w:rPr>
          <w:rFonts w:ascii="Arial" w:hAnsi="Arial" w:cs="Arial"/>
        </w:rPr>
        <w:t>do recurso com o objetivo de inabilitar a Impugnante, discorre sobre o Edital e item 6.5 transcrevendo-o, comenta sobre a Lei Federal nº 8.666/93, transcrevendo o artigo 3º caput, § 1º, inciso I e artigo 41, caput.</w:t>
      </w:r>
      <w:r w:rsidR="00414C61" w:rsidRPr="00BC62F9">
        <w:rPr>
          <w:rFonts w:ascii="Arial" w:hAnsi="Arial" w:cs="Arial"/>
        </w:rPr>
        <w:t xml:space="preserve"> Fundamenta a vedação a inclusão de cláusulas ou condições que comprometam, restrinjam ou frustrem o seu caráter competitivo (§ 1º do artigo 3º da Lei Federal nº 8.666/93)</w:t>
      </w:r>
      <w:r w:rsidR="00E23730" w:rsidRPr="00BC62F9">
        <w:rPr>
          <w:rFonts w:ascii="Arial" w:hAnsi="Arial" w:cs="Arial"/>
        </w:rPr>
        <w:t xml:space="preserve">. </w:t>
      </w:r>
      <w:r w:rsidR="00A923DE" w:rsidRPr="00BC62F9">
        <w:rPr>
          <w:rFonts w:ascii="Arial" w:hAnsi="Arial" w:cs="Arial"/>
        </w:rPr>
        <w:t xml:space="preserve">A solicitação da empresa Recorrente para basear-se na regulamentação do Pregão deve ser sumariante ignorado, segundo a Impugnante. Com relação a capacidade técnica a Impugnante alega que a execução de obras do gênero em nada garante a qualidade da obra. A qualidade da obra somente será conhecida por ocasião da conclusão dos serviços e a sua recepção pelo Fiscal que atestará que todos os serviços/materiais executados/empregados foram executados de acordo com as premissas previstas nas normas técnicas e, documentos de engenharia que regulamentam a matéria e sobremaneira com a qualidade necessária. </w:t>
      </w:r>
      <w:r w:rsidR="00BD4BDC" w:rsidRPr="00BC62F9">
        <w:rPr>
          <w:rFonts w:ascii="Arial" w:hAnsi="Arial" w:cs="Arial"/>
        </w:rPr>
        <w:t xml:space="preserve">Finaliza requerendo: desprovimento e desconhecimento do recurso da empresa </w:t>
      </w:r>
      <w:proofErr w:type="spellStart"/>
      <w:r w:rsidR="00BD4BDC" w:rsidRPr="00BC62F9">
        <w:rPr>
          <w:rFonts w:ascii="Arial" w:hAnsi="Arial" w:cs="Arial"/>
        </w:rPr>
        <w:t>Concretta</w:t>
      </w:r>
      <w:proofErr w:type="spellEnd"/>
      <w:r w:rsidR="00BD4BDC" w:rsidRPr="00BC62F9">
        <w:rPr>
          <w:rFonts w:ascii="Arial" w:hAnsi="Arial" w:cs="Arial"/>
        </w:rPr>
        <w:t xml:space="preserve"> Construções e Serviços </w:t>
      </w:r>
      <w:proofErr w:type="spellStart"/>
      <w:r w:rsidR="00BD4BDC" w:rsidRPr="00BC62F9">
        <w:rPr>
          <w:rFonts w:ascii="Arial" w:hAnsi="Arial" w:cs="Arial"/>
        </w:rPr>
        <w:t>Ltda</w:t>
      </w:r>
      <w:proofErr w:type="spellEnd"/>
      <w:r w:rsidR="00BD4BDC" w:rsidRPr="00BC62F9">
        <w:rPr>
          <w:rFonts w:ascii="Arial" w:hAnsi="Arial" w:cs="Arial"/>
        </w:rPr>
        <w:t xml:space="preserve">; que seja mantida a habilitação da empresa Josias Borges de Oliveira Me </w:t>
      </w:r>
      <w:r w:rsidR="00A923DE" w:rsidRPr="00BC62F9">
        <w:rPr>
          <w:rFonts w:ascii="Arial" w:hAnsi="Arial" w:cs="Arial"/>
        </w:rPr>
        <w:t xml:space="preserve"> </w:t>
      </w:r>
      <w:r w:rsidR="00BD4BDC" w:rsidRPr="00BC62F9">
        <w:rPr>
          <w:rFonts w:ascii="Arial" w:hAnsi="Arial" w:cs="Arial"/>
        </w:rPr>
        <w:t>a fase de julgamento de propostas, para todos os lotes; finalmente, entendendo a Comissão de Licitações que deveria ter sido apresentado atestado de capacidade técnica cada lote individualmente (contrariando ao previsto no edital), que por justiça seja mantida a habilitação da Impugnante para participação  nos demais Lotes (01 e 03).</w:t>
      </w:r>
      <w:r w:rsidR="000F1CC5" w:rsidRPr="00BC62F9">
        <w:rPr>
          <w:rFonts w:ascii="Arial" w:hAnsi="Arial" w:cs="Arial"/>
        </w:rPr>
        <w:t xml:space="preserve"> Os documentos que compõe as impugnações foram rubricados pelos Membros da Comissão de Licitações</w:t>
      </w:r>
      <w:r w:rsidR="00585028" w:rsidRPr="00BC62F9">
        <w:rPr>
          <w:rFonts w:ascii="Arial" w:hAnsi="Arial" w:cs="Arial"/>
        </w:rPr>
        <w:t xml:space="preserve"> e Engenheiro Civil da Prefeitura</w:t>
      </w:r>
      <w:r w:rsidR="000F1CC5" w:rsidRPr="00BC62F9">
        <w:rPr>
          <w:rFonts w:ascii="Arial" w:hAnsi="Arial" w:cs="Arial"/>
        </w:rPr>
        <w:t xml:space="preserve">. Passa a Comissão </w:t>
      </w:r>
      <w:r w:rsidR="00BC62F9">
        <w:rPr>
          <w:rFonts w:ascii="Arial" w:hAnsi="Arial" w:cs="Arial"/>
        </w:rPr>
        <w:t xml:space="preserve">e Engenheiro Civil, </w:t>
      </w:r>
      <w:r w:rsidR="000F1CC5" w:rsidRPr="00BC62F9">
        <w:rPr>
          <w:rFonts w:ascii="Arial" w:hAnsi="Arial" w:cs="Arial"/>
        </w:rPr>
        <w:t>a analisar os recursos e impugnações.</w:t>
      </w:r>
      <w:r w:rsidR="00695BC5" w:rsidRPr="00BC62F9">
        <w:rPr>
          <w:rFonts w:ascii="Arial" w:hAnsi="Arial" w:cs="Arial"/>
        </w:rPr>
        <w:t xml:space="preserve"> A inabilitação da empresa </w:t>
      </w:r>
      <w:r w:rsidR="00695BC5" w:rsidRPr="00BC62F9">
        <w:rPr>
          <w:rFonts w:ascii="Arial" w:hAnsi="Arial" w:cs="Arial"/>
        </w:rPr>
        <w:t>FLÁVIO DE SOUZA DIAS</w:t>
      </w:r>
      <w:r w:rsidR="00695BC5" w:rsidRPr="00BC62F9">
        <w:rPr>
          <w:rFonts w:ascii="Arial" w:hAnsi="Arial" w:cs="Arial"/>
        </w:rPr>
        <w:t xml:space="preserve"> fica mantida pois o Edital em seu item VI − CONTEÚDO OBRIGATÓRIO DO ENVELOPE Nº 01 – DOCUMENTAÇÃO, relaciona os documentos que devem ser apresentados para habilitação. Com relação ao recurso da empresa </w:t>
      </w:r>
      <w:proofErr w:type="spellStart"/>
      <w:r w:rsidR="00695BC5" w:rsidRPr="00BC62F9">
        <w:rPr>
          <w:rFonts w:ascii="Arial" w:hAnsi="Arial" w:cs="Arial"/>
        </w:rPr>
        <w:t>Concretta</w:t>
      </w:r>
      <w:proofErr w:type="spellEnd"/>
      <w:r w:rsidR="00695BC5" w:rsidRPr="00BC62F9">
        <w:rPr>
          <w:rFonts w:ascii="Arial" w:hAnsi="Arial" w:cs="Arial"/>
        </w:rPr>
        <w:t xml:space="preserve"> Construções e Serviços </w:t>
      </w:r>
      <w:proofErr w:type="spellStart"/>
      <w:r w:rsidR="00695BC5" w:rsidRPr="00BC62F9">
        <w:rPr>
          <w:rFonts w:ascii="Arial" w:hAnsi="Arial" w:cs="Arial"/>
        </w:rPr>
        <w:t>Ltda</w:t>
      </w:r>
      <w:proofErr w:type="spellEnd"/>
      <w:r w:rsidR="00695BC5" w:rsidRPr="00BC62F9">
        <w:rPr>
          <w:rFonts w:ascii="Arial" w:hAnsi="Arial" w:cs="Arial"/>
        </w:rPr>
        <w:t xml:space="preserve"> contra a habilitação das empresas</w:t>
      </w:r>
      <w:r w:rsidR="00695BC5" w:rsidRPr="00BC62F9">
        <w:rPr>
          <w:rFonts w:ascii="Arial" w:hAnsi="Arial" w:cs="Arial"/>
        </w:rPr>
        <w:t xml:space="preserve"> FLÁVIO DE SOUZA DIAS, JOSIAS BORGES DE OLIVEIRA ME, AC’TECH SOLUÇÕES METÁLICAS E COMÉRCIO LTDA, PRISCILLA ELISA SC</w:t>
      </w:r>
      <w:r w:rsidR="00695BC5" w:rsidRPr="00BC62F9">
        <w:rPr>
          <w:rFonts w:ascii="Arial" w:hAnsi="Arial" w:cs="Arial"/>
        </w:rPr>
        <w:t xml:space="preserve">KALEI, e FR SANTI ENGENHARIA ME à fase de julgamento de propostas, considera-se que:  </w:t>
      </w:r>
      <w:r w:rsidR="00585028" w:rsidRPr="00BC62F9">
        <w:rPr>
          <w:rFonts w:ascii="Arial" w:hAnsi="Arial" w:cs="Arial"/>
        </w:rPr>
        <w:t xml:space="preserve">a) a empresa </w:t>
      </w:r>
      <w:r w:rsidR="006D4FEA" w:rsidRPr="00BC62F9">
        <w:rPr>
          <w:rFonts w:ascii="Arial" w:hAnsi="Arial" w:cs="Arial"/>
        </w:rPr>
        <w:t xml:space="preserve">FLÁVIO DE SOUZA DIAS, </w:t>
      </w:r>
      <w:r w:rsidR="006D4FEA" w:rsidRPr="00BC62F9">
        <w:rPr>
          <w:rFonts w:ascii="Arial" w:hAnsi="Arial" w:cs="Arial"/>
        </w:rPr>
        <w:t xml:space="preserve">permanece inabilitada a fase de julgamento de propostas, face aos motivos já citados; b) </w:t>
      </w:r>
      <w:r w:rsidR="006D4FEA" w:rsidRPr="00BC62F9">
        <w:rPr>
          <w:rFonts w:ascii="Arial" w:hAnsi="Arial" w:cs="Arial"/>
        </w:rPr>
        <w:t xml:space="preserve">JOSIAS BORGES DE OLIVEIRA ME, </w:t>
      </w:r>
      <w:r w:rsidR="00585028" w:rsidRPr="00BC62F9">
        <w:rPr>
          <w:rFonts w:ascii="Arial" w:hAnsi="Arial" w:cs="Arial"/>
        </w:rPr>
        <w:t>apresentou a documentação comprobatória prevista no Edital, item 6.5, alínea “b”, para os lotes de números um e três (</w:t>
      </w:r>
      <w:r w:rsidR="00177BF6" w:rsidRPr="00BC62F9">
        <w:rPr>
          <w:rFonts w:ascii="Arial" w:hAnsi="Arial" w:cs="Arial"/>
        </w:rPr>
        <w:t>n.º</w:t>
      </w:r>
      <w:bookmarkStart w:id="0" w:name="_GoBack"/>
      <w:bookmarkEnd w:id="0"/>
      <w:r w:rsidR="00585028" w:rsidRPr="00BC62F9">
        <w:rPr>
          <w:rFonts w:ascii="Arial" w:hAnsi="Arial" w:cs="Arial"/>
        </w:rPr>
        <w:t xml:space="preserve"> 01 e 03), ficando habilitad</w:t>
      </w:r>
      <w:r w:rsidR="0024789B" w:rsidRPr="00BC62F9">
        <w:rPr>
          <w:rFonts w:ascii="Arial" w:hAnsi="Arial" w:cs="Arial"/>
        </w:rPr>
        <w:t>a</w:t>
      </w:r>
      <w:r w:rsidR="00585028" w:rsidRPr="00BC62F9">
        <w:rPr>
          <w:rFonts w:ascii="Arial" w:hAnsi="Arial" w:cs="Arial"/>
        </w:rPr>
        <w:t xml:space="preserve"> para apresentar propostas </w:t>
      </w:r>
      <w:r w:rsidR="00585028" w:rsidRPr="00BC62F9">
        <w:rPr>
          <w:rFonts w:ascii="Arial" w:hAnsi="Arial" w:cs="Arial"/>
        </w:rPr>
        <w:lastRenderedPageBreak/>
        <w:t xml:space="preserve">para os referidos lotes; c) </w:t>
      </w:r>
      <w:r w:rsidR="006D4FEA" w:rsidRPr="00BC62F9">
        <w:rPr>
          <w:rFonts w:ascii="Arial" w:hAnsi="Arial" w:cs="Arial"/>
        </w:rPr>
        <w:t xml:space="preserve">AC’TECH SOLUÇÕES METÁLICAS E COMÉRCIO LTDA, </w:t>
      </w:r>
      <w:r w:rsidR="00585028" w:rsidRPr="00BC62F9">
        <w:rPr>
          <w:rFonts w:ascii="Arial" w:hAnsi="Arial" w:cs="Arial"/>
        </w:rPr>
        <w:t xml:space="preserve">apresentou o documento previsto no item 4.5, no conteúdo  do envelope de nº 01 – documentação e poderá </w:t>
      </w:r>
      <w:r w:rsidR="00585028" w:rsidRPr="00BC62F9">
        <w:rPr>
          <w:rFonts w:ascii="Arial" w:hAnsi="Arial" w:cs="Arial"/>
        </w:rPr>
        <w:t>e poderão se beneficiar dos benefícios previstos na LC 123</w:t>
      </w:r>
      <w:r w:rsidR="00585028" w:rsidRPr="00BC62F9">
        <w:rPr>
          <w:rFonts w:ascii="Arial" w:hAnsi="Arial" w:cs="Arial"/>
        </w:rPr>
        <w:t xml:space="preserve">. A Comissão de Licitações embasa sua decisão após reanálise dos documentos apresentados no envelope de nº 01. A empresa </w:t>
      </w:r>
      <w:r w:rsidR="00585028" w:rsidRPr="00BC62F9">
        <w:rPr>
          <w:rFonts w:ascii="Arial" w:hAnsi="Arial" w:cs="Arial"/>
        </w:rPr>
        <w:t>apresentou a documentação comprobatória prevista no Edital, item 6.5, alínea “b”, para os lotes de números um e três (</w:t>
      </w:r>
      <w:proofErr w:type="spellStart"/>
      <w:r w:rsidR="00585028" w:rsidRPr="00BC62F9">
        <w:rPr>
          <w:rFonts w:ascii="Arial" w:hAnsi="Arial" w:cs="Arial"/>
        </w:rPr>
        <w:t>nºs</w:t>
      </w:r>
      <w:proofErr w:type="spellEnd"/>
      <w:r w:rsidR="00585028" w:rsidRPr="00BC62F9">
        <w:rPr>
          <w:rFonts w:ascii="Arial" w:hAnsi="Arial" w:cs="Arial"/>
        </w:rPr>
        <w:t xml:space="preserve"> 01 e 03), ficando habilitad</w:t>
      </w:r>
      <w:r w:rsidR="00585028" w:rsidRPr="00BC62F9">
        <w:rPr>
          <w:rFonts w:ascii="Arial" w:hAnsi="Arial" w:cs="Arial"/>
        </w:rPr>
        <w:t>a</w:t>
      </w:r>
      <w:r w:rsidR="00585028" w:rsidRPr="00BC62F9">
        <w:rPr>
          <w:rFonts w:ascii="Arial" w:hAnsi="Arial" w:cs="Arial"/>
        </w:rPr>
        <w:t xml:space="preserve"> para apresentar propostas para os referidos lotes;</w:t>
      </w:r>
      <w:r w:rsidR="00585028" w:rsidRPr="00BC62F9">
        <w:rPr>
          <w:rFonts w:ascii="Arial" w:hAnsi="Arial" w:cs="Arial"/>
        </w:rPr>
        <w:t xml:space="preserve"> d) a empresa </w:t>
      </w:r>
      <w:r w:rsidR="006D4FEA" w:rsidRPr="00BC62F9">
        <w:rPr>
          <w:rFonts w:ascii="Arial" w:hAnsi="Arial" w:cs="Arial"/>
        </w:rPr>
        <w:t xml:space="preserve">PRISCILLA ELISA SCKALEI, </w:t>
      </w:r>
      <w:r w:rsidR="00AF3C43" w:rsidRPr="00BC62F9">
        <w:rPr>
          <w:rFonts w:ascii="Arial" w:hAnsi="Arial" w:cs="Arial"/>
        </w:rPr>
        <w:t>apresentou a documentação comprobatória prevista no Edital, item 6.5, alínea “b”, para os lote de número</w:t>
      </w:r>
      <w:r w:rsidR="00AF3C43" w:rsidRPr="00BC62F9">
        <w:rPr>
          <w:rFonts w:ascii="Arial" w:hAnsi="Arial" w:cs="Arial"/>
        </w:rPr>
        <w:t xml:space="preserve"> um </w:t>
      </w:r>
      <w:r w:rsidR="00AF3C43" w:rsidRPr="00BC62F9">
        <w:rPr>
          <w:rFonts w:ascii="Arial" w:hAnsi="Arial" w:cs="Arial"/>
        </w:rPr>
        <w:t>(nº 01), ficando habilit</w:t>
      </w:r>
      <w:r w:rsidR="00AF3C43" w:rsidRPr="00BC62F9">
        <w:rPr>
          <w:rFonts w:ascii="Arial" w:hAnsi="Arial" w:cs="Arial"/>
        </w:rPr>
        <w:t>ada para apresentar proposta</w:t>
      </w:r>
      <w:r w:rsidR="00AF3C43" w:rsidRPr="00BC62F9">
        <w:rPr>
          <w:rFonts w:ascii="Arial" w:hAnsi="Arial" w:cs="Arial"/>
        </w:rPr>
        <w:t xml:space="preserve"> para o referido lote;</w:t>
      </w:r>
      <w:r w:rsidR="00AF3C43" w:rsidRPr="00BC62F9">
        <w:rPr>
          <w:rFonts w:ascii="Arial" w:hAnsi="Arial" w:cs="Arial"/>
        </w:rPr>
        <w:t xml:space="preserve"> e) a empresa </w:t>
      </w:r>
      <w:r w:rsidR="006D4FEA" w:rsidRPr="00BC62F9">
        <w:rPr>
          <w:rFonts w:ascii="Arial" w:hAnsi="Arial" w:cs="Arial"/>
        </w:rPr>
        <w:t>FR SANTI ENGENHARIA ME</w:t>
      </w:r>
      <w:r w:rsidR="00AF3C43" w:rsidRPr="00BC62F9">
        <w:rPr>
          <w:rFonts w:ascii="Arial" w:hAnsi="Arial" w:cs="Arial"/>
        </w:rPr>
        <w:t xml:space="preserve">, não apresentou atestados </w:t>
      </w:r>
      <w:r w:rsidR="00427BCB" w:rsidRPr="00BC62F9">
        <w:rPr>
          <w:rFonts w:ascii="Arial" w:hAnsi="Arial" w:cs="Arial"/>
        </w:rPr>
        <w:t>compatível com a</w:t>
      </w:r>
      <w:r w:rsidR="00AF3C43" w:rsidRPr="00BC62F9">
        <w:rPr>
          <w:rFonts w:ascii="Arial" w:hAnsi="Arial" w:cs="Arial"/>
        </w:rPr>
        <w:t xml:space="preserve"> documentação comprobatória prevista no Edital, item 6.5, alínea “b”, para </w:t>
      </w:r>
      <w:r w:rsidR="00AF3C43" w:rsidRPr="00BC62F9">
        <w:rPr>
          <w:rFonts w:ascii="Arial" w:hAnsi="Arial" w:cs="Arial"/>
        </w:rPr>
        <w:t>tod</w:t>
      </w:r>
      <w:r w:rsidR="00AF3C43" w:rsidRPr="00BC62F9">
        <w:rPr>
          <w:rFonts w:ascii="Arial" w:hAnsi="Arial" w:cs="Arial"/>
        </w:rPr>
        <w:t xml:space="preserve">os </w:t>
      </w:r>
      <w:r w:rsidR="00AF3C43" w:rsidRPr="00BC62F9">
        <w:rPr>
          <w:rFonts w:ascii="Arial" w:hAnsi="Arial" w:cs="Arial"/>
        </w:rPr>
        <w:t xml:space="preserve">os lotes ficando inabilitada à fase de julgamento de </w:t>
      </w:r>
      <w:r w:rsidR="00427BCB" w:rsidRPr="00BC62F9">
        <w:rPr>
          <w:rFonts w:ascii="Arial" w:hAnsi="Arial" w:cs="Arial"/>
        </w:rPr>
        <w:t>propostas</w:t>
      </w:r>
      <w:r w:rsidR="00AF3C43" w:rsidRPr="00BC62F9">
        <w:rPr>
          <w:rFonts w:ascii="Arial" w:hAnsi="Arial" w:cs="Arial"/>
        </w:rPr>
        <w:t xml:space="preserve">. </w:t>
      </w:r>
      <w:r w:rsidR="00BC62F9" w:rsidRPr="00BC62F9">
        <w:rPr>
          <w:rFonts w:ascii="Arial" w:hAnsi="Arial" w:cs="Arial"/>
        </w:rPr>
        <w:t>Nos termos da Lei Federal nº 8.666/93, artigo 109, e conforme recurso da empresa Flavio de Souza Dias, o processo é remetido à</w:t>
      </w:r>
      <w:r w:rsidR="00BC62F9" w:rsidRPr="00BC62F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C62F9" w:rsidRPr="00BC62F9">
        <w:rPr>
          <w:rFonts w:ascii="Arial" w:hAnsi="Arial" w:cs="Arial"/>
          <w:color w:val="000000"/>
          <w:shd w:val="clear" w:color="auto" w:fill="FFFFFF"/>
        </w:rPr>
        <w:t>A</w:t>
      </w:r>
      <w:r w:rsidR="00BC62F9" w:rsidRPr="00BC62F9">
        <w:rPr>
          <w:rFonts w:ascii="Arial" w:hAnsi="Arial" w:cs="Arial"/>
          <w:color w:val="000000"/>
          <w:shd w:val="clear" w:color="auto" w:fill="FFFFFF"/>
        </w:rPr>
        <w:t xml:space="preserve">utoridade </w:t>
      </w:r>
      <w:r w:rsidR="00BC62F9" w:rsidRPr="00BC62F9">
        <w:rPr>
          <w:rFonts w:ascii="Arial" w:hAnsi="Arial" w:cs="Arial"/>
          <w:color w:val="000000"/>
          <w:shd w:val="clear" w:color="auto" w:fill="FFFFFF"/>
        </w:rPr>
        <w:t>S</w:t>
      </w:r>
      <w:r w:rsidR="00BC62F9" w:rsidRPr="00BC62F9">
        <w:rPr>
          <w:rFonts w:ascii="Arial" w:hAnsi="Arial" w:cs="Arial"/>
          <w:color w:val="000000"/>
          <w:shd w:val="clear" w:color="auto" w:fill="FFFFFF"/>
        </w:rPr>
        <w:t>uperior</w:t>
      </w:r>
      <w:r w:rsidR="00BC62F9" w:rsidRPr="00BC62F9">
        <w:rPr>
          <w:rFonts w:ascii="Arial" w:hAnsi="Arial" w:cs="Arial"/>
          <w:color w:val="000000"/>
          <w:shd w:val="clear" w:color="auto" w:fill="FFFFFF"/>
        </w:rPr>
        <w:t xml:space="preserve"> para decisão final</w:t>
      </w:r>
      <w:r w:rsidR="00BC62F9" w:rsidRPr="00BC62F9">
        <w:rPr>
          <w:rFonts w:ascii="Arial" w:hAnsi="Arial" w:cs="Arial"/>
          <w:color w:val="000000"/>
          <w:shd w:val="clear" w:color="auto" w:fill="FFFFFF"/>
        </w:rPr>
        <w:t>.</w:t>
      </w:r>
      <w:r w:rsidR="00BC62F9" w:rsidRPr="00BC62F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C62F9">
        <w:rPr>
          <w:rFonts w:ascii="Arial" w:hAnsi="Arial" w:cs="Arial"/>
          <w:color w:val="000000"/>
          <w:shd w:val="clear" w:color="auto" w:fill="FFFFFF"/>
        </w:rPr>
        <w:t>Retornando os autos do processo as</w:t>
      </w:r>
      <w:r w:rsidR="00E3584F" w:rsidRPr="00BC62F9">
        <w:rPr>
          <w:rFonts w:ascii="Arial" w:hAnsi="Arial" w:cs="Arial"/>
          <w:color w:val="000000"/>
        </w:rPr>
        <w:t xml:space="preserve"> participantes serão notificados das decisões nas formas da lei. </w:t>
      </w:r>
      <w:r w:rsidR="00FB2822" w:rsidRPr="00BC62F9">
        <w:rPr>
          <w:rFonts w:ascii="Arial" w:hAnsi="Arial" w:cs="Arial"/>
          <w:color w:val="000000"/>
        </w:rPr>
        <w:t>Nada mais havendo a constar encerrou-se a reunião e a presente Ata, que lida e achada conforme segue assinada pelos presentes.</w:t>
      </w:r>
    </w:p>
    <w:p w:rsidR="00170CBD" w:rsidRPr="00BC62F9" w:rsidRDefault="00170CBD" w:rsidP="00695BC5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</w:p>
    <w:sectPr w:rsidR="00170CBD" w:rsidRPr="00BC62F9" w:rsidSect="00DA122C">
      <w:headerReference w:type="default" r:id="rId9"/>
      <w:footerReference w:type="default" r:id="rId10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7F" w:rsidRDefault="00A33D7F">
      <w:r>
        <w:separator/>
      </w:r>
    </w:p>
  </w:endnote>
  <w:endnote w:type="continuationSeparator" w:id="0">
    <w:p w:rsidR="00A33D7F" w:rsidRDefault="00A3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7F" w:rsidRDefault="00A33D7F">
      <w:r>
        <w:separator/>
      </w:r>
    </w:p>
  </w:footnote>
  <w:footnote w:type="continuationSeparator" w:id="0">
    <w:p w:rsidR="00A33D7F" w:rsidRDefault="00A3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07FAF"/>
    <w:multiLevelType w:val="hybridMultilevel"/>
    <w:tmpl w:val="546C41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406DE"/>
    <w:multiLevelType w:val="hybridMultilevel"/>
    <w:tmpl w:val="3B9082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52"/>
    <w:rsid w:val="000144D2"/>
    <w:rsid w:val="0004057E"/>
    <w:rsid w:val="0005614B"/>
    <w:rsid w:val="0006337C"/>
    <w:rsid w:val="00073B16"/>
    <w:rsid w:val="00084D21"/>
    <w:rsid w:val="000A2071"/>
    <w:rsid w:val="000B03A8"/>
    <w:rsid w:val="000B1ADE"/>
    <w:rsid w:val="000C149B"/>
    <w:rsid w:val="000D08F9"/>
    <w:rsid w:val="000E0584"/>
    <w:rsid w:val="000F0BA1"/>
    <w:rsid w:val="000F1CC5"/>
    <w:rsid w:val="000F1EEA"/>
    <w:rsid w:val="0011318E"/>
    <w:rsid w:val="00117420"/>
    <w:rsid w:val="00121F10"/>
    <w:rsid w:val="0012386D"/>
    <w:rsid w:val="00133CBA"/>
    <w:rsid w:val="001426E3"/>
    <w:rsid w:val="0015736D"/>
    <w:rsid w:val="00170CBD"/>
    <w:rsid w:val="00177BF6"/>
    <w:rsid w:val="00196D35"/>
    <w:rsid w:val="001977C7"/>
    <w:rsid w:val="001A2D6F"/>
    <w:rsid w:val="001B0D25"/>
    <w:rsid w:val="001D3B0F"/>
    <w:rsid w:val="001E1BB8"/>
    <w:rsid w:val="001F0FD5"/>
    <w:rsid w:val="00201C71"/>
    <w:rsid w:val="00203F89"/>
    <w:rsid w:val="00205BCE"/>
    <w:rsid w:val="0020663B"/>
    <w:rsid w:val="00227DDD"/>
    <w:rsid w:val="002322CB"/>
    <w:rsid w:val="00241954"/>
    <w:rsid w:val="00244205"/>
    <w:rsid w:val="0024789B"/>
    <w:rsid w:val="00275AAC"/>
    <w:rsid w:val="0028157C"/>
    <w:rsid w:val="00282C9F"/>
    <w:rsid w:val="0028672C"/>
    <w:rsid w:val="00295595"/>
    <w:rsid w:val="002A5893"/>
    <w:rsid w:val="002A792A"/>
    <w:rsid w:val="002C0688"/>
    <w:rsid w:val="002C0B53"/>
    <w:rsid w:val="002D0F92"/>
    <w:rsid w:val="002D15AD"/>
    <w:rsid w:val="002D34A7"/>
    <w:rsid w:val="002E48D3"/>
    <w:rsid w:val="002E59AE"/>
    <w:rsid w:val="002F2B41"/>
    <w:rsid w:val="00307B48"/>
    <w:rsid w:val="00326DCE"/>
    <w:rsid w:val="0035556B"/>
    <w:rsid w:val="00360A62"/>
    <w:rsid w:val="00366F88"/>
    <w:rsid w:val="00371E4C"/>
    <w:rsid w:val="00380990"/>
    <w:rsid w:val="00397E19"/>
    <w:rsid w:val="003A30A4"/>
    <w:rsid w:val="003B01A3"/>
    <w:rsid w:val="003D7FD1"/>
    <w:rsid w:val="003E47AD"/>
    <w:rsid w:val="003E51B6"/>
    <w:rsid w:val="003F6D32"/>
    <w:rsid w:val="0040154B"/>
    <w:rsid w:val="00401577"/>
    <w:rsid w:val="004056B6"/>
    <w:rsid w:val="00414C61"/>
    <w:rsid w:val="0041523F"/>
    <w:rsid w:val="00416B37"/>
    <w:rsid w:val="00424506"/>
    <w:rsid w:val="00427BCB"/>
    <w:rsid w:val="00430968"/>
    <w:rsid w:val="00445DFC"/>
    <w:rsid w:val="00452847"/>
    <w:rsid w:val="004531D0"/>
    <w:rsid w:val="00453516"/>
    <w:rsid w:val="00453CFD"/>
    <w:rsid w:val="004543C3"/>
    <w:rsid w:val="004625F0"/>
    <w:rsid w:val="00470300"/>
    <w:rsid w:val="00470F26"/>
    <w:rsid w:val="004710CA"/>
    <w:rsid w:val="00492356"/>
    <w:rsid w:val="004928BB"/>
    <w:rsid w:val="00495263"/>
    <w:rsid w:val="004B3689"/>
    <w:rsid w:val="004B6516"/>
    <w:rsid w:val="004B74C1"/>
    <w:rsid w:val="004E0996"/>
    <w:rsid w:val="004F3AA7"/>
    <w:rsid w:val="00500045"/>
    <w:rsid w:val="0050488D"/>
    <w:rsid w:val="00505A7C"/>
    <w:rsid w:val="00520829"/>
    <w:rsid w:val="00520C92"/>
    <w:rsid w:val="005245E2"/>
    <w:rsid w:val="00534B83"/>
    <w:rsid w:val="0054170D"/>
    <w:rsid w:val="00541D62"/>
    <w:rsid w:val="00541E6D"/>
    <w:rsid w:val="00542990"/>
    <w:rsid w:val="00560A7B"/>
    <w:rsid w:val="00561962"/>
    <w:rsid w:val="00562377"/>
    <w:rsid w:val="00571EF9"/>
    <w:rsid w:val="00574FDE"/>
    <w:rsid w:val="00585028"/>
    <w:rsid w:val="00587631"/>
    <w:rsid w:val="00594C8C"/>
    <w:rsid w:val="00595093"/>
    <w:rsid w:val="005C4BFC"/>
    <w:rsid w:val="005E4690"/>
    <w:rsid w:val="005F2878"/>
    <w:rsid w:val="005F58CD"/>
    <w:rsid w:val="005F68F3"/>
    <w:rsid w:val="006039C9"/>
    <w:rsid w:val="00605ECA"/>
    <w:rsid w:val="00607EF5"/>
    <w:rsid w:val="00616C2A"/>
    <w:rsid w:val="00616F99"/>
    <w:rsid w:val="0063100C"/>
    <w:rsid w:val="00631B0A"/>
    <w:rsid w:val="00634697"/>
    <w:rsid w:val="00641A60"/>
    <w:rsid w:val="00655D44"/>
    <w:rsid w:val="00656947"/>
    <w:rsid w:val="00660449"/>
    <w:rsid w:val="00664A4E"/>
    <w:rsid w:val="00670A93"/>
    <w:rsid w:val="00674C1D"/>
    <w:rsid w:val="006774FF"/>
    <w:rsid w:val="0068474F"/>
    <w:rsid w:val="00695BC5"/>
    <w:rsid w:val="00697918"/>
    <w:rsid w:val="006A6E4F"/>
    <w:rsid w:val="006D1FDB"/>
    <w:rsid w:val="006D214F"/>
    <w:rsid w:val="006D4B1F"/>
    <w:rsid w:val="006D4FEA"/>
    <w:rsid w:val="006E0840"/>
    <w:rsid w:val="006E33B9"/>
    <w:rsid w:val="006E6E1E"/>
    <w:rsid w:val="006F2988"/>
    <w:rsid w:val="006F29B0"/>
    <w:rsid w:val="00713F1C"/>
    <w:rsid w:val="0072750C"/>
    <w:rsid w:val="00743B64"/>
    <w:rsid w:val="00755CF5"/>
    <w:rsid w:val="00776E38"/>
    <w:rsid w:val="00791270"/>
    <w:rsid w:val="007C49D8"/>
    <w:rsid w:val="007D1F1C"/>
    <w:rsid w:val="007D6394"/>
    <w:rsid w:val="007E63A5"/>
    <w:rsid w:val="007E7B3D"/>
    <w:rsid w:val="007F408C"/>
    <w:rsid w:val="00803138"/>
    <w:rsid w:val="008141A9"/>
    <w:rsid w:val="0084062F"/>
    <w:rsid w:val="00841750"/>
    <w:rsid w:val="00846FBD"/>
    <w:rsid w:val="0086193C"/>
    <w:rsid w:val="008672DF"/>
    <w:rsid w:val="008748AA"/>
    <w:rsid w:val="00892B69"/>
    <w:rsid w:val="008A6CB5"/>
    <w:rsid w:val="008B360E"/>
    <w:rsid w:val="008B42F5"/>
    <w:rsid w:val="008B4FD0"/>
    <w:rsid w:val="008C29DB"/>
    <w:rsid w:val="008C5114"/>
    <w:rsid w:val="008D04E6"/>
    <w:rsid w:val="008D0BAB"/>
    <w:rsid w:val="008D7504"/>
    <w:rsid w:val="00911FEE"/>
    <w:rsid w:val="00933546"/>
    <w:rsid w:val="00940209"/>
    <w:rsid w:val="009415E4"/>
    <w:rsid w:val="00964FC8"/>
    <w:rsid w:val="00973F47"/>
    <w:rsid w:val="009813C9"/>
    <w:rsid w:val="00985DBF"/>
    <w:rsid w:val="0099035C"/>
    <w:rsid w:val="00993DDB"/>
    <w:rsid w:val="009A3DAD"/>
    <w:rsid w:val="009C69B8"/>
    <w:rsid w:val="009D201F"/>
    <w:rsid w:val="009D265A"/>
    <w:rsid w:val="009E0E02"/>
    <w:rsid w:val="009F0CBC"/>
    <w:rsid w:val="009F1C9D"/>
    <w:rsid w:val="00A07F6F"/>
    <w:rsid w:val="00A13281"/>
    <w:rsid w:val="00A259A8"/>
    <w:rsid w:val="00A274EB"/>
    <w:rsid w:val="00A27F3A"/>
    <w:rsid w:val="00A33D7F"/>
    <w:rsid w:val="00A34E40"/>
    <w:rsid w:val="00A369BF"/>
    <w:rsid w:val="00A402BB"/>
    <w:rsid w:val="00A4302F"/>
    <w:rsid w:val="00A44494"/>
    <w:rsid w:val="00A46AFE"/>
    <w:rsid w:val="00A46D11"/>
    <w:rsid w:val="00A87529"/>
    <w:rsid w:val="00A91F0E"/>
    <w:rsid w:val="00A923DE"/>
    <w:rsid w:val="00AA11C2"/>
    <w:rsid w:val="00AE3D41"/>
    <w:rsid w:val="00AE6EAA"/>
    <w:rsid w:val="00AF3C43"/>
    <w:rsid w:val="00B03083"/>
    <w:rsid w:val="00B03318"/>
    <w:rsid w:val="00B045E2"/>
    <w:rsid w:val="00B13EB2"/>
    <w:rsid w:val="00B16612"/>
    <w:rsid w:val="00B2515D"/>
    <w:rsid w:val="00B25ACB"/>
    <w:rsid w:val="00B25F0D"/>
    <w:rsid w:val="00B40F4E"/>
    <w:rsid w:val="00B424F6"/>
    <w:rsid w:val="00B465AD"/>
    <w:rsid w:val="00B61066"/>
    <w:rsid w:val="00B7402C"/>
    <w:rsid w:val="00B80C36"/>
    <w:rsid w:val="00B83607"/>
    <w:rsid w:val="00B87488"/>
    <w:rsid w:val="00B9241A"/>
    <w:rsid w:val="00B950F2"/>
    <w:rsid w:val="00BC4AEA"/>
    <w:rsid w:val="00BC4CCA"/>
    <w:rsid w:val="00BC62F9"/>
    <w:rsid w:val="00BC759B"/>
    <w:rsid w:val="00BD15DB"/>
    <w:rsid w:val="00BD4BDC"/>
    <w:rsid w:val="00C20D5D"/>
    <w:rsid w:val="00C22189"/>
    <w:rsid w:val="00C23B44"/>
    <w:rsid w:val="00C246E0"/>
    <w:rsid w:val="00C25EBD"/>
    <w:rsid w:val="00C37F9F"/>
    <w:rsid w:val="00C545DD"/>
    <w:rsid w:val="00C60BCF"/>
    <w:rsid w:val="00C61BAC"/>
    <w:rsid w:val="00C72B85"/>
    <w:rsid w:val="00C743FC"/>
    <w:rsid w:val="00C80BD0"/>
    <w:rsid w:val="00C84C23"/>
    <w:rsid w:val="00C92B7B"/>
    <w:rsid w:val="00C96E00"/>
    <w:rsid w:val="00CA4097"/>
    <w:rsid w:val="00CB3BBD"/>
    <w:rsid w:val="00CC0F1F"/>
    <w:rsid w:val="00CD6DA8"/>
    <w:rsid w:val="00CE7A12"/>
    <w:rsid w:val="00D00804"/>
    <w:rsid w:val="00D0373B"/>
    <w:rsid w:val="00D202ED"/>
    <w:rsid w:val="00D20386"/>
    <w:rsid w:val="00D449B7"/>
    <w:rsid w:val="00D534EE"/>
    <w:rsid w:val="00D535E4"/>
    <w:rsid w:val="00D55B39"/>
    <w:rsid w:val="00D62E37"/>
    <w:rsid w:val="00D673CD"/>
    <w:rsid w:val="00D7578D"/>
    <w:rsid w:val="00D86A71"/>
    <w:rsid w:val="00D87C2F"/>
    <w:rsid w:val="00DA0F1C"/>
    <w:rsid w:val="00DA115E"/>
    <w:rsid w:val="00DA122C"/>
    <w:rsid w:val="00DA2484"/>
    <w:rsid w:val="00DC05FB"/>
    <w:rsid w:val="00DD2F06"/>
    <w:rsid w:val="00DF3079"/>
    <w:rsid w:val="00E00946"/>
    <w:rsid w:val="00E22240"/>
    <w:rsid w:val="00E23730"/>
    <w:rsid w:val="00E24AB7"/>
    <w:rsid w:val="00E3144F"/>
    <w:rsid w:val="00E3584F"/>
    <w:rsid w:val="00E36DDC"/>
    <w:rsid w:val="00E50268"/>
    <w:rsid w:val="00E5762A"/>
    <w:rsid w:val="00E60682"/>
    <w:rsid w:val="00E60EDC"/>
    <w:rsid w:val="00E62354"/>
    <w:rsid w:val="00E63463"/>
    <w:rsid w:val="00E77E98"/>
    <w:rsid w:val="00E842AC"/>
    <w:rsid w:val="00E85190"/>
    <w:rsid w:val="00E94B5C"/>
    <w:rsid w:val="00E95725"/>
    <w:rsid w:val="00E96440"/>
    <w:rsid w:val="00E974D2"/>
    <w:rsid w:val="00EB0B4D"/>
    <w:rsid w:val="00EB5A47"/>
    <w:rsid w:val="00ED5661"/>
    <w:rsid w:val="00ED74A3"/>
    <w:rsid w:val="00EF0252"/>
    <w:rsid w:val="00F00F1C"/>
    <w:rsid w:val="00F04C81"/>
    <w:rsid w:val="00F04D62"/>
    <w:rsid w:val="00F230EB"/>
    <w:rsid w:val="00F23AC0"/>
    <w:rsid w:val="00F335E9"/>
    <w:rsid w:val="00F4605D"/>
    <w:rsid w:val="00F76940"/>
    <w:rsid w:val="00F87DC0"/>
    <w:rsid w:val="00F92DDF"/>
    <w:rsid w:val="00F9300D"/>
    <w:rsid w:val="00F97DDF"/>
    <w:rsid w:val="00FA142E"/>
    <w:rsid w:val="00FB2286"/>
    <w:rsid w:val="00FB2822"/>
    <w:rsid w:val="00FB59C6"/>
    <w:rsid w:val="00FB662F"/>
    <w:rsid w:val="00FB689D"/>
    <w:rsid w:val="00FD1467"/>
    <w:rsid w:val="00FE4FE6"/>
    <w:rsid w:val="00FE6258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BD25F9-41E6-44DA-9E50-00D249F2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BC4CCA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FB22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B228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D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viadutos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AA0A-76E1-477D-A8BB-35AB6708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1102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User</cp:lastModifiedBy>
  <cp:revision>22</cp:revision>
  <cp:lastPrinted>2022-12-08T13:58:00Z</cp:lastPrinted>
  <dcterms:created xsi:type="dcterms:W3CDTF">2022-12-08T12:19:00Z</dcterms:created>
  <dcterms:modified xsi:type="dcterms:W3CDTF">2022-12-08T14:00:00Z</dcterms:modified>
</cp:coreProperties>
</file>