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183/2025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a manutenção técnica da motoniveladora VHP,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para a manutenção técnica da motoniveladora VHP,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Lâmina curva 3/4 08 furos 5/8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5/8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5/8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 PRIMARIO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 secundário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combustível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óleo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diagnóstico eletrônico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troca de filtros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183/2025.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Lâmina curva 3/4 08 furos 5/8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5/8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5/8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 PRIMARIO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 secundário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combustível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óleo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diagnóstico eletrônico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troca de filtros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global</w:t>
      </w:r>
      <w:r>
        <w:rPr>
          <w:sz w:val="24"/>
          <w:szCs w:val="24"/>
        </w:rPr>
        <w:t>, objetivando a contratação de empresa para Aquisição de mão de obra e materiais para a manutenção técnica da motoniveladora VHP,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global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a manutenção técnica da motoniveladora VHP,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solicitado pelo órgão 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solicitante</w:t>
      </w:r>
      <w:r>
        <w:rPr>
          <w:sz w:val="24"/>
          <w:szCs w:val="24"/>
        </w:rPr>
        <w:t xml:space="preserve"> 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Lâmina curva 3/4 08 furos 5/8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5/8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5/8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 PRIMARIO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 secundário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combustível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óleo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diagnóstico eletrônico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troca de filtros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mecânica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24/04/25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LibreOffice/6.4.4.2$Windows_X86_64 LibreOffice_project/3d775be2011f3886db32dfd395a6a6d1ca2630ff</Application>
  <Pages>4</Pages>
  <Words>735</Words>
  <Characters>4103</Characters>
  <CharactersWithSpaces>4721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2025-04-24T16:05:18Z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