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121/2025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microfone para uso da Assessoria de Imprensa nas gravações de áudio em entrevistas e informativos.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microfone para uso da Assessoria de Imprensa nas gravações de áudio em entrevistas e informativos.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Microfone duplo sem fio USB - C-M-2.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121/2025.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Microfone duplo sem fio USB - C-M-2.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73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microfone para uso da Assessoria de Imprensa nas gravações de áudio em entrevistas e informativos.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Não se Aplica,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microfone para uso da Assessoria de Imprensa nas gravações de áudio em entrevistas e informativos.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solicitação do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Assessoria de Imprensa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Microfone duplo sem fio USB - C-M-2.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2626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449052330000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12/03/25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Paulo Sergio Lazzarotto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Administração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LibreOffice/6.4.4.2$Windows_X86_64 LibreOffice_project/3d775be2011f3886db32dfd395a6a6d1ca2630ff</Application>
  <Pages>2</Pages>
  <Words>560</Words>
  <Characters>3269</Characters>
  <CharactersWithSpaces>3793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2025-03-12T15:35:46Z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