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476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390/2024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476/2024 e ratifico a Dispensa por Limite: 390/2024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L E MECÂNICA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23.769.514/0001-01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4.850,26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 xml:space="preserve">om o objetivo de: Contratação de empresa para manutenção do veículo de de placas IVM 7446, pertencente a </w:t>
      </w:r>
      <w:r>
        <w:rPr>
          <w:sz w:val="24"/>
          <w:szCs w:val="24"/>
        </w:rPr>
        <w:t>Secretaria</w:t>
      </w:r>
      <w:r>
        <w:rPr>
          <w:sz w:val="24"/>
          <w:szCs w:val="24"/>
        </w:rPr>
        <w:t xml:space="preserve"> Municipal de Educação e que realiza o transporte diariamente., com fundamento no Lei nº 14.133/2021, Art. 75, inc. I § 7.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>05/09/2024.</w:t>
      </w:r>
      <w:r>
        <w:rPr>
          <w:sz w:val="24"/>
          <w:szCs w:val="24"/>
        </w:rPr>
        <w:t xml:space="preserve"> 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>Prefeito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LibreOffice/6.4.4.2$Windows_X86_64 LibreOffice_project/3d775be2011f3886db32dfd395a6a6d1ca2630ff</Application>
  <Pages>1</Pages>
  <Words>155</Words>
  <Characters>811</Characters>
  <CharactersWithSpaces>964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2024-09-05T15:51:28Z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