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3F" w:rsidRPr="0010253F" w:rsidRDefault="0010253F" w:rsidP="003A57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TERMO DE REFERÊNCIA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PROCESSO ADMINISTRATIVO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548/2024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i/>
          <w:iCs/>
          <w:kern w:val="1"/>
          <w:lang w:eastAsia="zh-CN" w:bidi="hi-IN"/>
        </w:rPr>
        <w:t>Necessidade da Administração: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Contratação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de empresa para fornecimento de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premiação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para eventos esportivos da Secretaria de Educação do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Município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de Viadutos.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1. DEFINIÇÃO DO OBJETO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O presente termo tem por objeto: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Contratação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de empresa para fornecimento de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premiação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para eventos esportivos da Secretaria de Educação do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Município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de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Viadutos.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O presente Termo de Referência parte da Solicitação Interna nº: 548/2024.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2. FUNDAMENTAÇÃO DA CONTRATAÇÃO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Conforme o estudo realizado chegou-se a necessidade de contratação dos seguintes objetos: </w:t>
      </w:r>
    </w:p>
    <w:tbl>
      <w:tblPr>
        <w:tblW w:w="97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560"/>
        <w:gridCol w:w="1417"/>
      </w:tblGrid>
      <w:tr w:rsidR="0010253F" w:rsidRPr="0010253F" w:rsidTr="00CE02A9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Descrição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Quantidade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Unidade</w:t>
            </w:r>
          </w:p>
        </w:tc>
      </w:tr>
      <w:tr w:rsidR="00CE02A9" w:rsidRPr="0010253F" w:rsidTr="00CE02A9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Medalha campe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futebol, cor dourada, prata e bronze. Medalha fundida em liga met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lica de </w:t>
            </w:r>
            <w:proofErr w:type="spellStart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zamac</w:t>
            </w:r>
            <w:proofErr w:type="spellEnd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, com tamanho de 75mm e centro liso de 50mm de di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â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metro. Com bordas raiadas e polidas. Espessura m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xima de 3,0mm. Metalizada em dourada, prata e bronze. Suporte para fita com 2,5 cm de largura. Amedalha pode vir acompanhada de fita de cetim nas cores azul, vermelha, amarela, branca ou verde ou fita de gorgor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nas cores azul, azul-branco-vermelha ou verde-amarela com 2,5cm de largura. Sendo 50 na cor dourada, 50 na cor pra e 50 na cor bronze.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135,0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</w:tr>
      <w:tr w:rsidR="00CE02A9" w:rsidRPr="0010253F" w:rsidTr="00CE02A9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Kit baralho franc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ê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s, dois baralhos por kit, sendo um na cor azul e outro na cor vermelho, quantidade de cartas por baralho: 52 cartas, tamanho da carta: bridge </w:t>
            </w:r>
            <w:proofErr w:type="spellStart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size</w:t>
            </w:r>
            <w:proofErr w:type="spellEnd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, tamanho do naipe: convencional, material: cart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</w:tr>
      <w:tr w:rsidR="00CE02A9" w:rsidRPr="0010253F" w:rsidTr="00CE02A9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campe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cambio - 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com 60cm de altura, base oitavada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metalizado na cor dourada com 16cm de largura, sobre esta base uma placa de metal adesiva na cor azul. Nesta placa ser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 fixada um leito personaliz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vel para adesivo de 106mm, metalizado na cor dourada.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</w:tr>
      <w:tr w:rsidR="00CE02A9" w:rsidRPr="0010253F" w:rsidTr="00CE02A9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Medalha 50mm de di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â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metro, 1,8 mm de espessura aproximado, material </w:t>
            </w:r>
            <w:proofErr w:type="spellStart"/>
            <w:proofErr w:type="gramStart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zamac</w:t>
            </w:r>
            <w:proofErr w:type="spellEnd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(</w:t>
            </w:r>
            <w:proofErr w:type="gramEnd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liga de antim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ô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nio) fita tafet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 15 mm de largura e 80 cm de comprimento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130,0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</w:tr>
      <w:tr w:rsidR="00CE02A9" w:rsidRPr="0010253F" w:rsidTr="00CE02A9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com 35 cm de altura, base oitavada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metalizado na cor dourado com 12,1 cm de largura, placa em acr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lico transparente com impress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em UV na cor azul, com 25 cm de altura fixada por suporte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metalizada na cor dourado.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</w:tr>
      <w:tr w:rsidR="00CE02A9" w:rsidRPr="0010253F" w:rsidTr="00CE02A9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com 39 cm de altura, base oitavada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metalizado na cor dourado com 12,1 cm de largura, placa em acr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lico transparente com impress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em UV na cor azul, com 25 cm de altura fixada por suporte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metalizada na cor dourado.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</w:tr>
      <w:tr w:rsidR="00CE02A9" w:rsidRPr="0010253F" w:rsidTr="00CE02A9"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com 41 cm de altura, base oitavada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metalizado na cor dourado com 12,1 cm de largura, placa em acr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lico transparente com impress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em UV na cor azul, com 25 cm de altura fixada por suporte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metalizada na cor dourado.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</w:tr>
    </w:tbl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CE02A9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CE02A9">
        <w:rPr>
          <w:rFonts w:ascii="Times New Roman" w:eastAsia="Times New Roman" w:hAnsi="Times New Roman" w:cs="Times New Roman"/>
          <w:kern w:val="1"/>
          <w:lang w:eastAsia="zh-CN" w:bidi="hi-IN"/>
        </w:rPr>
        <w:t>A contratação pretendida está prevista no Plano de Contratações Anual do Município de Viadutos, como se vê do</w:t>
      </w:r>
      <w:r w:rsidR="00CE02A9" w:rsidRPr="00CE02A9">
        <w:rPr>
          <w:rFonts w:ascii="Times New Roman" w:eastAsia="Times New Roman" w:hAnsi="Times New Roman" w:cs="Times New Roman"/>
          <w:kern w:val="1"/>
          <w:lang w:eastAsia="zh-CN" w:bidi="hi-IN"/>
        </w:rPr>
        <w:t>s itens n°</w:t>
      </w:r>
      <w:r w:rsidRPr="00CE02A9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</w:t>
      </w:r>
      <w:r w:rsidR="00CE02A9" w:rsidRPr="00CE02A9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92, 179 e 190 </w:t>
      </w:r>
      <w:r w:rsidRPr="00CE02A9">
        <w:rPr>
          <w:rFonts w:ascii="Times New Roman" w:eastAsia="Times New Roman" w:hAnsi="Times New Roman" w:cs="Times New Roman"/>
          <w:kern w:val="1"/>
          <w:lang w:eastAsia="zh-CN" w:bidi="hi-IN"/>
        </w:rPr>
        <w:t>daquele documento, estando assim alinhada com o planejamento desta Administração.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3. DESCRIÇÃO DA SOLUÇÃO COMO UM TODO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A solução proposta é a realização de um (a) Pregão, tendo como critério de julgamento Menor Preço, 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lastRenderedPageBreak/>
        <w:t xml:space="preserve">objetivando a contratação de empresa para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Contratação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de empresa para fornecimento de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premiação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para eventos esportivos da Secretaria de Educação do </w:t>
      </w:r>
      <w:r w:rsidR="00CE02A9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Município</w:t>
      </w:r>
      <w:r w:rsidR="00CE02A9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de Viadutos.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ab/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4. REQUISITOS DA CONTRATAÇÃO</w:t>
      </w:r>
    </w:p>
    <w:p w:rsidR="0010253F" w:rsidRPr="0010253F" w:rsidRDefault="00CE02A9" w:rsidP="0010253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Os bens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ora licitad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os têm natureza de bens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10253F" w:rsidRPr="0010253F" w:rsidRDefault="00CE02A9" w:rsidP="0010253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Os produtos deverão ser entregue na Secretaria de Educação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, com o pagamento previsto para ser efetuado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conforme disposto no contrato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A contratação será realizada por meio de Pregão, tendo como critério de julgamento Menor Preço, nos termos da Lei Federal nº 14.133/2021.</w:t>
      </w:r>
    </w:p>
    <w:p w:rsidR="0010253F" w:rsidRPr="0010253F" w:rsidRDefault="00CE02A9" w:rsidP="0010253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Para fornecimento dos produtos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pretendidos os eventuais interessados deverão comprovar que atuam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em ramo de atividade compatível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com o objeto da licitação: 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Contratação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de empresa para fornecimento de 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premiação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para eventos esportivos da Secretaria de Educação do </w:t>
      </w: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Município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de Viadutos.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5. MODELO DE EXECUÇÃO DO OBJETO</w:t>
      </w:r>
    </w:p>
    <w:p w:rsidR="0010253F" w:rsidRPr="0010253F" w:rsidRDefault="00CE02A9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Os produtos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everão ser entregues na Secretaria de Educação conforme solicitação do responsável.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6. MODELO DE GESTÃO DO CONTRATO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7. CRITÉRIOS DE MEDIÇÃO E DE PAGAMENTO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O pagamento é previsto para ser efetuado 15 (quinze) dias após a entrega da mercadoria, mediante apresentação da Nota Fiscal da Empresa e após a devida conferência e consequente liquidação/ateste de que os produtos/serviços foram entregues/prestados de forma adequada.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8. FORMA E CRITÉRIOS DE SELEÇÃO DO FORNECEDOR/PRESTADOR DE SERVIÇO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Conforme disposto no item 4, o futuro contratado será selecionado mediante processo de Pregão.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9. ESTIMATIVA DO VALOR DA CONTRATAÇÃO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Estima-se para a contratação almejada o valor conforme descrito abaixo:</w:t>
      </w:r>
    </w:p>
    <w:tbl>
      <w:tblPr>
        <w:tblW w:w="97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992"/>
        <w:gridCol w:w="1398"/>
        <w:gridCol w:w="1437"/>
      </w:tblGrid>
      <w:tr w:rsidR="0010253F" w:rsidRPr="0010253F" w:rsidTr="003A5700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Quantidade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Unidade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Unitário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Total</w:t>
            </w:r>
          </w:p>
        </w:tc>
      </w:tr>
      <w:tr w:rsidR="00CE02A9" w:rsidRPr="0010253F" w:rsidTr="003A5700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Medalha campe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futebol, cor dourada, prata e bronze. Medalha fundida em liga met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lica de </w:t>
            </w:r>
            <w:proofErr w:type="spellStart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zamac</w:t>
            </w:r>
            <w:proofErr w:type="spellEnd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, com tamanho de 75mm e centro liso de 50mm de di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â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metro. Com bordas raiadas e polidas. Espessura m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xima de 3,0mm. Metalizada em dourada, prata e bronze. Suporte para fita com 2,5 cm de largura. Amedalha pode vir acompanhada de fita de cetim nas cores azul, vermelha, amarela, branca ou verde ou fita de gorgor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nas cores azul, azul-branco-vermelha ou verde-amarela com 2,5cm de largura. Sendo 50 na cor dourada, 50 na cor pra e 50 na cor bronze.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3A5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R$ 13,4</w:t>
            </w:r>
            <w:r w:rsidR="003A5700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667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R$ 1.818,0</w:t>
            </w:r>
            <w:r w:rsidR="004959F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00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</w:t>
            </w:r>
          </w:p>
        </w:tc>
      </w:tr>
      <w:tr w:rsidR="00CE02A9" w:rsidRPr="0010253F" w:rsidTr="003A5700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Kit baralho franc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ê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s, dois baralhos por kit, sendo um na cor azul e outro na cor vermelho, quantidade de 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lastRenderedPageBreak/>
              <w:t xml:space="preserve">cartas por baralho: 52 cartas, tamanho da carta: bridge </w:t>
            </w:r>
            <w:proofErr w:type="spellStart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size</w:t>
            </w:r>
            <w:proofErr w:type="spellEnd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, tamanho do naipe: convencional, material: cart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lastRenderedPageBreak/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R$ 21,8</w:t>
            </w:r>
            <w:r w:rsidR="003A5700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00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R$ 654,0</w:t>
            </w:r>
            <w:r w:rsidR="004959F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00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</w:t>
            </w:r>
          </w:p>
        </w:tc>
      </w:tr>
      <w:tr w:rsidR="00CE02A9" w:rsidRPr="0010253F" w:rsidTr="003A5700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lastRenderedPageBreak/>
              <w:t>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campe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cambio - 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com 60cm de altura, base oitavada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metalizado na cor dourada com 16cm de largura, sobre esta base uma placa de metal adesiva na cor azul. Nesta placa ser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 fixada um leito personaliz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vel para adesivo de 106mm, metalizado na cor dourada.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3A5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R$ 500,4</w:t>
            </w:r>
            <w:r w:rsidR="003A5700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667</w:t>
            </w:r>
          </w:p>
        </w:tc>
        <w:tc>
          <w:tcPr>
            <w:tcW w:w="1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R$ 500,4</w:t>
            </w:r>
            <w:r w:rsidR="004959F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66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</w:t>
            </w:r>
          </w:p>
        </w:tc>
      </w:tr>
      <w:tr w:rsidR="00CE02A9" w:rsidRPr="0010253F" w:rsidTr="003A5700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Medalha 50mm de di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â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metro, 1,8 mm de espessura aproximado, material </w:t>
            </w:r>
            <w:proofErr w:type="spellStart"/>
            <w:proofErr w:type="gramStart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zamac</w:t>
            </w:r>
            <w:proofErr w:type="spellEnd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(</w:t>
            </w:r>
            <w:proofErr w:type="gramEnd"/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liga de antim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ô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nio) fita tafet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á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 xml:space="preserve"> 15 mm de largura e 80 cm de comprimento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R$ 7,1</w:t>
            </w:r>
            <w:r w:rsidR="003A5700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33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</w:t>
            </w:r>
          </w:p>
        </w:tc>
        <w:tc>
          <w:tcPr>
            <w:tcW w:w="1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R$ 927,3</w:t>
            </w:r>
            <w:r w:rsidR="004959F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33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</w:t>
            </w:r>
          </w:p>
        </w:tc>
      </w:tr>
      <w:tr w:rsidR="00CE02A9" w:rsidRPr="0010253F" w:rsidTr="003A5700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com 35 cm de altura, base oitavada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metalizado na cor dourado com 12,1 cm de largura, placa em acr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lico transparente com impress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em UV na cor azul, com 25 cm de altura fixada por suporte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metalizada na cor dourado.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R$ 164,4</w:t>
            </w:r>
            <w:r w:rsidR="003A5700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66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</w:t>
            </w:r>
          </w:p>
        </w:tc>
        <w:tc>
          <w:tcPr>
            <w:tcW w:w="1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R$ 164,4</w:t>
            </w:r>
            <w:r w:rsidR="004959F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66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</w:t>
            </w:r>
          </w:p>
        </w:tc>
      </w:tr>
      <w:tr w:rsidR="00CE02A9" w:rsidRPr="0010253F" w:rsidTr="003A5700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com 39 cm de altura, base oitavada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metalizado na cor dourado com 12,1 cm de largura, placa em acr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lico transparente com impress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em UV na cor azul, com 25 cm de altura fixada por suporte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metalizada na cor dourado.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R$ 175,1</w:t>
            </w:r>
            <w:r w:rsidR="003A5700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33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</w:t>
            </w:r>
          </w:p>
        </w:tc>
        <w:tc>
          <w:tcPr>
            <w:tcW w:w="1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R$ 175,1</w:t>
            </w:r>
            <w:r w:rsidR="004959F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33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</w:t>
            </w:r>
          </w:p>
        </w:tc>
      </w:tr>
      <w:tr w:rsidR="00CE02A9" w:rsidRPr="0010253F" w:rsidTr="00774155"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8636A2" w:rsidRDefault="00CE02A9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Trof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é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u com 41 cm de altura, base oitavada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metalizado na cor dourado com 12,1 cm de largura, placa em acr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lico transparente com impress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ã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o em UV na cor azul, com 25 cm de altura fixada por suporte em pol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í</w:t>
            </w:r>
            <w:r w:rsidRPr="008636A2">
              <w:rPr>
                <w:rFonts w:ascii="Times New Roman" w:eastAsia="Times New Roman" w:hAnsi="Liberation Serif"/>
                <w:kern w:val="1"/>
                <w:lang w:eastAsia="zh-CN"/>
              </w:rPr>
              <w:t>mero metalizada na cor dourado.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Und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R$ 201,1</w:t>
            </w:r>
            <w:r w:rsidR="003A5700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33</w:t>
            </w: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</w:t>
            </w:r>
          </w:p>
        </w:tc>
        <w:tc>
          <w:tcPr>
            <w:tcW w:w="14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2A9" w:rsidRPr="0010253F" w:rsidRDefault="00CE02A9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R$ 201,1</w:t>
            </w:r>
            <w:r w:rsidR="004959F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33</w:t>
            </w:r>
            <w:bookmarkStart w:id="0" w:name="_GoBack"/>
            <w:bookmarkEnd w:id="0"/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</w:t>
            </w:r>
          </w:p>
        </w:tc>
      </w:tr>
      <w:tr w:rsidR="00774155" w:rsidRPr="0010253F" w:rsidTr="00774155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55" w:rsidRPr="008636A2" w:rsidRDefault="00774155" w:rsidP="00CE02A9">
            <w:pPr>
              <w:suppressLineNumbers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Liberation Serif"/>
                <w:kern w:val="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55" w:rsidRPr="0010253F" w:rsidRDefault="00774155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55" w:rsidRPr="0010253F" w:rsidRDefault="00774155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55" w:rsidRPr="00774155" w:rsidRDefault="00774155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TOTAL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55" w:rsidRPr="00774155" w:rsidRDefault="00774155" w:rsidP="00CE02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74155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R$ 4.440,5333</w:t>
            </w:r>
          </w:p>
        </w:tc>
      </w:tr>
    </w:tbl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10. ADEQUAÇÃO ORÇAMENTÁRIA</w:t>
      </w:r>
    </w:p>
    <w:p w:rsidR="0010253F" w:rsidRPr="0010253F" w:rsidRDefault="0010253F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10253F">
        <w:rPr>
          <w:rFonts w:ascii="Times New Roman" w:eastAsia="Times New Roman" w:hAnsi="Times New Roman" w:cs="Times New Roman"/>
          <w:kern w:val="1"/>
          <w:lang w:eastAsia="zh-CN" w:bidi="hi-IN"/>
        </w:rPr>
        <w:tab/>
        <w:t>O dispêndio financeiro decorrente da contratação ora pretendida decorrerá da dotação orçamentária: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3649"/>
        <w:gridCol w:w="3214"/>
      </w:tblGrid>
      <w:tr w:rsidR="0010253F" w:rsidRPr="0010253F"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Recurso</w:t>
            </w:r>
          </w:p>
        </w:tc>
      </w:tr>
      <w:tr w:rsidR="0010253F" w:rsidRPr="0010253F"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428</w:t>
            </w:r>
          </w:p>
        </w:tc>
        <w:tc>
          <w:tcPr>
            <w:tcW w:w="3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339031040000</w:t>
            </w: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53F" w:rsidRPr="0010253F" w:rsidRDefault="0010253F" w:rsidP="001025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10253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1501</w:t>
            </w:r>
          </w:p>
        </w:tc>
      </w:tr>
    </w:tbl>
    <w:p w:rsidR="00CE02A9" w:rsidRDefault="00CE02A9" w:rsidP="0077415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CE02A9" w:rsidRDefault="00CE02A9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774155" w:rsidRDefault="00CE02A9" w:rsidP="00774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Viadutos – RS, 19 de novembro de 2024</w:t>
      </w:r>
    </w:p>
    <w:p w:rsidR="00CE02A9" w:rsidRDefault="00CE02A9" w:rsidP="00CE02A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CE02A9" w:rsidRPr="0010253F" w:rsidRDefault="00CE02A9" w:rsidP="00CE02A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10253F" w:rsidRPr="0010253F" w:rsidRDefault="00774155" w:rsidP="001025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___________</w:t>
      </w:r>
      <w:r w:rsidR="0010253F" w:rsidRPr="0010253F">
        <w:rPr>
          <w:rFonts w:ascii="Times New Roman" w:eastAsia="Times New Roman" w:hAnsi="Times New Roman" w:cs="Times New Roman"/>
          <w:kern w:val="1"/>
          <w:lang w:eastAsia="zh-CN" w:bidi="hi-IN"/>
        </w:rPr>
        <w:t>_________________</w:t>
      </w:r>
    </w:p>
    <w:p w:rsidR="006C442B" w:rsidRPr="00CE02A9" w:rsidRDefault="00CE02A9" w:rsidP="00CE02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Adriana </w:t>
      </w:r>
      <w:proofErr w:type="spellStart"/>
      <w:r>
        <w:rPr>
          <w:rFonts w:ascii="Times New Roman" w:eastAsia="Times New Roman" w:hAnsi="Times New Roman" w:cs="Times New Roman"/>
          <w:kern w:val="1"/>
          <w:lang w:eastAsia="zh-CN" w:bidi="hi-IN"/>
        </w:rPr>
        <w:t>Tobaldini</w:t>
      </w:r>
      <w:proofErr w:type="spellEnd"/>
    </w:p>
    <w:sectPr w:rsidR="006C442B" w:rsidRPr="00CE02A9" w:rsidSect="00CE02A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BC" w:rsidRDefault="008744BC" w:rsidP="0010253F">
      <w:pPr>
        <w:spacing w:after="0" w:line="240" w:lineRule="auto"/>
      </w:pPr>
      <w:r>
        <w:separator/>
      </w:r>
    </w:p>
  </w:endnote>
  <w:endnote w:type="continuationSeparator" w:id="0">
    <w:p w:rsidR="008744BC" w:rsidRDefault="008744BC" w:rsidP="0010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BC" w:rsidRDefault="008744BC" w:rsidP="0010253F">
      <w:pPr>
        <w:spacing w:after="0" w:line="240" w:lineRule="auto"/>
      </w:pPr>
      <w:r>
        <w:separator/>
      </w:r>
    </w:p>
  </w:footnote>
  <w:footnote w:type="continuationSeparator" w:id="0">
    <w:p w:rsidR="008744BC" w:rsidRDefault="008744BC" w:rsidP="0010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53F" w:rsidRPr="0010253F" w:rsidRDefault="0010253F" w:rsidP="0010253F">
    <w:pPr>
      <w:tabs>
        <w:tab w:val="center" w:pos="4419"/>
        <w:tab w:val="right" w:pos="8838"/>
      </w:tabs>
      <w:suppressAutoHyphens/>
      <w:autoSpaceDN w:val="0"/>
      <w:adjustRightInd w:val="0"/>
      <w:spacing w:after="0" w:line="240" w:lineRule="auto"/>
      <w:jc w:val="center"/>
      <w:rPr>
        <w:rFonts w:ascii="Times New Roman" w:eastAsia="Times New Roman" w:hAnsi="Liberation Serif" w:cs="Times New Roman"/>
        <w:sz w:val="20"/>
        <w:szCs w:val="20"/>
        <w:lang w:eastAsia="zh-CN"/>
      </w:rPr>
    </w:pPr>
    <w:r w:rsidRPr="0010253F">
      <w:rPr>
        <w:rFonts w:ascii="Times New Roman" w:eastAsia="Times New Roman" w:hAnsi="Liberation Serif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104775</wp:posOffset>
          </wp:positionH>
          <wp:positionV relativeFrom="paragraph">
            <wp:posOffset>-313055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53F">
      <w:rPr>
        <w:rFonts w:ascii="Century Gothic" w:eastAsia="Times New Roman" w:hAnsi="Century Gothic" w:cs="Century Gothic"/>
        <w:b/>
        <w:szCs w:val="20"/>
        <w:lang w:eastAsia="pt-BR"/>
      </w:rPr>
      <w:t>ESTADO DO RIO GRANDE DO SUL</w:t>
    </w:r>
  </w:p>
  <w:p w:rsidR="0010253F" w:rsidRPr="0010253F" w:rsidRDefault="0010253F" w:rsidP="0010253F">
    <w:pPr>
      <w:tabs>
        <w:tab w:val="center" w:pos="4419"/>
        <w:tab w:val="right" w:pos="8838"/>
      </w:tabs>
      <w:suppressAutoHyphens/>
      <w:autoSpaceDN w:val="0"/>
      <w:adjustRightInd w:val="0"/>
      <w:spacing w:after="0" w:line="240" w:lineRule="auto"/>
      <w:jc w:val="center"/>
      <w:rPr>
        <w:rFonts w:ascii="Times New Roman" w:eastAsia="Times New Roman" w:hAnsi="Liberation Serif"/>
        <w:sz w:val="20"/>
        <w:szCs w:val="24"/>
        <w:lang w:eastAsia="zh-CN"/>
      </w:rPr>
    </w:pPr>
    <w:r w:rsidRPr="0010253F">
      <w:rPr>
        <w:rFonts w:ascii="Century Gothic" w:eastAsia="Times New Roman" w:hAnsi="Century Gothic" w:cs="Century Gothic"/>
        <w:b/>
        <w:sz w:val="28"/>
        <w:szCs w:val="24"/>
        <w:lang w:eastAsia="pt-BR"/>
      </w:rPr>
      <w:t>PREFEITURA MUNICIPAL DE VIADUTOS</w:t>
    </w:r>
  </w:p>
  <w:p w:rsidR="0010253F" w:rsidRPr="0010253F" w:rsidRDefault="0010253F" w:rsidP="0010253F">
    <w:pPr>
      <w:tabs>
        <w:tab w:val="center" w:pos="4419"/>
        <w:tab w:val="right" w:pos="8838"/>
      </w:tabs>
      <w:suppressAutoHyphens/>
      <w:autoSpaceDN w:val="0"/>
      <w:adjustRightInd w:val="0"/>
      <w:spacing w:after="0" w:line="240" w:lineRule="auto"/>
      <w:rPr>
        <w:rFonts w:ascii="Arial" w:eastAsia="Times New Roman" w:hAnsi="Arial" w:cs="Arial"/>
        <w:szCs w:val="24"/>
        <w:lang w:eastAsia="pt-BR"/>
      </w:rPr>
    </w:pPr>
  </w:p>
  <w:p w:rsidR="0010253F" w:rsidRDefault="001025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3F"/>
    <w:rsid w:val="0010253F"/>
    <w:rsid w:val="003A5700"/>
    <w:rsid w:val="003F0326"/>
    <w:rsid w:val="004959F7"/>
    <w:rsid w:val="006C442B"/>
    <w:rsid w:val="00774155"/>
    <w:rsid w:val="008744BC"/>
    <w:rsid w:val="00C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E349835-B7C2-4607-9217-AE835D4C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2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53F"/>
  </w:style>
  <w:style w:type="paragraph" w:styleId="Rodap">
    <w:name w:val="footer"/>
    <w:basedOn w:val="Normal"/>
    <w:link w:val="RodapChar"/>
    <w:uiPriority w:val="99"/>
    <w:unhideWhenUsed/>
    <w:rsid w:val="00102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53F"/>
  </w:style>
  <w:style w:type="paragraph" w:customStyle="1" w:styleId="Standard">
    <w:name w:val="Standard"/>
    <w:uiPriority w:val="99"/>
    <w:rsid w:val="0010253F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1268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2024-11-20T18:19:00Z</dcterms:created>
  <dcterms:modified xsi:type="dcterms:W3CDTF">2024-11-21T12:28:00Z</dcterms:modified>
</cp:coreProperties>
</file>